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CD22" w14:textId="77777777" w:rsidR="00BC10BC" w:rsidRDefault="00BC10BC" w:rsidP="00BC10BC">
      <w:pPr>
        <w:tabs>
          <w:tab w:val="left" w:pos="2220"/>
        </w:tabs>
        <w:autoSpaceDE w:val="0"/>
        <w:autoSpaceDN w:val="0"/>
        <w:adjustRightInd w:val="0"/>
        <w:rPr>
          <w:rFonts w:cstheme="minorHAnsi"/>
          <w:color w:val="231F20"/>
          <w:sz w:val="19"/>
          <w:szCs w:val="19"/>
        </w:rPr>
      </w:pPr>
    </w:p>
    <w:p w14:paraId="0DF0A3E6" w14:textId="610C3B7B" w:rsidR="00BB370F" w:rsidRPr="00D42343" w:rsidRDefault="009840F3" w:rsidP="00BC10BC">
      <w:pPr>
        <w:tabs>
          <w:tab w:val="left" w:pos="2220"/>
        </w:tabs>
        <w:autoSpaceDE w:val="0"/>
        <w:autoSpaceDN w:val="0"/>
        <w:adjustRightInd w:val="0"/>
        <w:jc w:val="center"/>
        <w:rPr>
          <w:rFonts w:cstheme="minorHAnsi"/>
          <w:b/>
          <w:bCs/>
          <w:color w:val="231F20"/>
          <w:sz w:val="24"/>
          <w:szCs w:val="24"/>
        </w:rPr>
      </w:pPr>
      <w:r w:rsidRPr="00D42343">
        <w:rPr>
          <w:rFonts w:cstheme="minorHAnsi"/>
          <w:b/>
          <w:bCs/>
          <w:color w:val="211F1F"/>
          <w:sz w:val="24"/>
          <w:szCs w:val="24"/>
        </w:rPr>
        <w:t xml:space="preserve">SAMPLE </w:t>
      </w:r>
      <w:r w:rsidR="00FE0CD2" w:rsidRPr="00D42343">
        <w:rPr>
          <w:rFonts w:cstheme="minorHAnsi"/>
          <w:b/>
          <w:bCs/>
          <w:color w:val="211F1F"/>
          <w:sz w:val="24"/>
          <w:szCs w:val="24"/>
        </w:rPr>
        <w:t>LETTER OF MEDICAL NECESSITY</w:t>
      </w:r>
    </w:p>
    <w:p w14:paraId="30CB1AB0" w14:textId="626174D4" w:rsidR="00594DF0" w:rsidRPr="00F1533D" w:rsidRDefault="00594DF0" w:rsidP="00594DF0">
      <w:pPr>
        <w:tabs>
          <w:tab w:val="left" w:pos="180"/>
          <w:tab w:val="left" w:pos="389"/>
        </w:tabs>
        <w:suppressAutoHyphens/>
        <w:autoSpaceDE w:val="0"/>
        <w:autoSpaceDN w:val="0"/>
        <w:adjustRightInd w:val="0"/>
        <w:spacing w:after="80" w:line="260" w:lineRule="atLeast"/>
        <w:textAlignment w:val="center"/>
        <w:rPr>
          <w:rFonts w:cstheme="minorHAnsi"/>
          <w:b/>
          <w:bCs/>
          <w:spacing w:val="4"/>
        </w:rPr>
      </w:pPr>
      <w:r w:rsidRPr="00F1533D">
        <w:rPr>
          <w:rFonts w:cstheme="minorHAnsi"/>
          <w:b/>
          <w:bCs/>
          <w:spacing w:val="4"/>
        </w:rPr>
        <w:t>[</w:t>
      </w:r>
      <w:r w:rsidR="00BE2FF4">
        <w:rPr>
          <w:rFonts w:cstheme="minorHAnsi"/>
          <w:b/>
          <w:bCs/>
          <w:spacing w:val="4"/>
        </w:rPr>
        <w:t xml:space="preserve">Insert </w:t>
      </w:r>
      <w:r w:rsidRPr="00F1533D">
        <w:rPr>
          <w:rFonts w:cstheme="minorHAnsi"/>
          <w:b/>
          <w:bCs/>
          <w:spacing w:val="4"/>
        </w:rPr>
        <w:t xml:space="preserve">Date] </w:t>
      </w:r>
    </w:p>
    <w:p w14:paraId="7ACBAF12" w14:textId="36474834" w:rsidR="00594DF0" w:rsidRPr="00F1533D" w:rsidRDefault="00594DF0" w:rsidP="00594DF0">
      <w:pPr>
        <w:tabs>
          <w:tab w:val="left" w:pos="180"/>
          <w:tab w:val="left" w:pos="389"/>
        </w:tabs>
        <w:suppressAutoHyphens/>
        <w:autoSpaceDE w:val="0"/>
        <w:autoSpaceDN w:val="0"/>
        <w:adjustRightInd w:val="0"/>
        <w:spacing w:after="80" w:line="260" w:lineRule="atLeast"/>
        <w:textAlignment w:val="center"/>
        <w:rPr>
          <w:rFonts w:cstheme="minorHAnsi"/>
          <w:b/>
          <w:bCs/>
          <w:spacing w:val="4"/>
        </w:rPr>
      </w:pPr>
      <w:r w:rsidRPr="00F1533D">
        <w:rPr>
          <w:rFonts w:cstheme="minorHAnsi"/>
          <w:b/>
          <w:bCs/>
          <w:spacing w:val="4"/>
        </w:rPr>
        <w:t>[</w:t>
      </w:r>
      <w:r w:rsidR="00BE2FF4">
        <w:rPr>
          <w:rFonts w:cstheme="minorHAnsi"/>
          <w:b/>
          <w:bCs/>
          <w:spacing w:val="4"/>
        </w:rPr>
        <w:t xml:space="preserve">Insert </w:t>
      </w:r>
      <w:r w:rsidRPr="00F1533D">
        <w:rPr>
          <w:rFonts w:cstheme="minorHAnsi"/>
          <w:b/>
          <w:bCs/>
          <w:spacing w:val="4"/>
        </w:rPr>
        <w:t xml:space="preserve">Payer Name] </w:t>
      </w:r>
    </w:p>
    <w:p w14:paraId="33E48B30" w14:textId="1BEEB708" w:rsidR="009F44FB" w:rsidRPr="00F1533D" w:rsidRDefault="00594DF0" w:rsidP="00594DF0">
      <w:pPr>
        <w:tabs>
          <w:tab w:val="left" w:pos="180"/>
          <w:tab w:val="left" w:pos="389"/>
        </w:tabs>
        <w:suppressAutoHyphens/>
        <w:autoSpaceDE w:val="0"/>
        <w:autoSpaceDN w:val="0"/>
        <w:adjustRightInd w:val="0"/>
        <w:spacing w:after="80" w:line="260" w:lineRule="atLeast"/>
        <w:textAlignment w:val="center"/>
        <w:rPr>
          <w:rFonts w:cstheme="minorHAnsi"/>
          <w:b/>
          <w:bCs/>
          <w:spacing w:val="4"/>
        </w:rPr>
      </w:pPr>
      <w:r w:rsidRPr="00F1533D">
        <w:rPr>
          <w:rFonts w:cstheme="minorHAnsi"/>
          <w:b/>
          <w:bCs/>
          <w:spacing w:val="4"/>
        </w:rPr>
        <w:t>[</w:t>
      </w:r>
      <w:r w:rsidR="00BE2FF4">
        <w:rPr>
          <w:rFonts w:cstheme="minorHAnsi"/>
          <w:b/>
          <w:bCs/>
          <w:spacing w:val="4"/>
        </w:rPr>
        <w:t xml:space="preserve">Insert </w:t>
      </w:r>
      <w:r w:rsidRPr="00F1533D">
        <w:rPr>
          <w:rFonts w:cstheme="minorHAnsi"/>
          <w:b/>
          <w:bCs/>
          <w:spacing w:val="4"/>
        </w:rPr>
        <w:t xml:space="preserve">Payer Address] </w:t>
      </w:r>
    </w:p>
    <w:p w14:paraId="54839739" w14:textId="4C312784" w:rsidR="00594DF0" w:rsidRPr="00F1533D" w:rsidRDefault="00594DF0" w:rsidP="00594DF0">
      <w:pPr>
        <w:tabs>
          <w:tab w:val="left" w:pos="180"/>
          <w:tab w:val="left" w:pos="389"/>
        </w:tabs>
        <w:suppressAutoHyphens/>
        <w:autoSpaceDE w:val="0"/>
        <w:autoSpaceDN w:val="0"/>
        <w:adjustRightInd w:val="0"/>
        <w:spacing w:after="80" w:line="260" w:lineRule="atLeast"/>
        <w:textAlignment w:val="center"/>
        <w:rPr>
          <w:rFonts w:cstheme="minorHAnsi"/>
          <w:b/>
          <w:bCs/>
          <w:spacing w:val="4"/>
        </w:rPr>
      </w:pPr>
      <w:r w:rsidRPr="00F1533D">
        <w:rPr>
          <w:rFonts w:cstheme="minorHAnsi"/>
          <w:b/>
          <w:bCs/>
          <w:spacing w:val="4"/>
        </w:rPr>
        <w:t>Re: [</w:t>
      </w:r>
      <w:r w:rsidR="00BE2FF4">
        <w:rPr>
          <w:rFonts w:cstheme="minorHAnsi"/>
          <w:b/>
          <w:bCs/>
          <w:spacing w:val="4"/>
        </w:rPr>
        <w:t xml:space="preserve">Insert </w:t>
      </w:r>
      <w:r w:rsidRPr="00F1533D">
        <w:rPr>
          <w:rFonts w:cstheme="minorHAnsi"/>
          <w:b/>
          <w:bCs/>
          <w:spacing w:val="4"/>
        </w:rPr>
        <w:t xml:space="preserve">Patient Name] </w:t>
      </w:r>
    </w:p>
    <w:p w14:paraId="27D4D8D4" w14:textId="4F1A1E60" w:rsidR="00A33ABB" w:rsidRPr="00F1533D" w:rsidRDefault="00594DF0" w:rsidP="00A64275">
      <w:pPr>
        <w:tabs>
          <w:tab w:val="left" w:pos="180"/>
          <w:tab w:val="left" w:pos="389"/>
        </w:tabs>
        <w:suppressAutoHyphens/>
        <w:autoSpaceDE w:val="0"/>
        <w:autoSpaceDN w:val="0"/>
        <w:adjustRightInd w:val="0"/>
        <w:spacing w:after="80" w:line="260" w:lineRule="atLeast"/>
        <w:textAlignment w:val="center"/>
        <w:rPr>
          <w:rFonts w:cstheme="minorHAnsi"/>
          <w:b/>
          <w:bCs/>
          <w:spacing w:val="4"/>
        </w:rPr>
      </w:pPr>
      <w:r w:rsidRPr="00F1533D">
        <w:rPr>
          <w:rFonts w:cstheme="minorHAnsi"/>
          <w:b/>
          <w:bCs/>
          <w:spacing w:val="4"/>
        </w:rPr>
        <w:t>[</w:t>
      </w:r>
      <w:r w:rsidR="00BE2FF4">
        <w:rPr>
          <w:rFonts w:cstheme="minorHAnsi"/>
          <w:b/>
          <w:bCs/>
          <w:spacing w:val="4"/>
        </w:rPr>
        <w:t xml:space="preserve">Insert </w:t>
      </w:r>
      <w:r w:rsidRPr="00F1533D">
        <w:rPr>
          <w:rFonts w:cstheme="minorHAnsi"/>
          <w:b/>
          <w:bCs/>
          <w:spacing w:val="4"/>
        </w:rPr>
        <w:t xml:space="preserve">Policy ID/Group </w:t>
      </w:r>
      <w:r w:rsidR="00A33ABB" w:rsidRPr="00F1533D">
        <w:rPr>
          <w:rFonts w:cstheme="minorHAnsi"/>
          <w:b/>
          <w:bCs/>
          <w:spacing w:val="4"/>
        </w:rPr>
        <w:t>Number</w:t>
      </w:r>
      <w:r w:rsidRPr="00F1533D">
        <w:rPr>
          <w:rFonts w:cstheme="minorHAnsi"/>
          <w:b/>
          <w:bCs/>
          <w:spacing w:val="4"/>
        </w:rPr>
        <w:t>]</w:t>
      </w:r>
    </w:p>
    <w:p w14:paraId="08D1360E" w14:textId="0AAADEBF" w:rsidR="00A33ABB" w:rsidRPr="00F1533D" w:rsidRDefault="00A33ABB" w:rsidP="00A64275">
      <w:pPr>
        <w:tabs>
          <w:tab w:val="left" w:pos="180"/>
          <w:tab w:val="left" w:pos="389"/>
        </w:tabs>
        <w:suppressAutoHyphens/>
        <w:autoSpaceDE w:val="0"/>
        <w:autoSpaceDN w:val="0"/>
        <w:adjustRightInd w:val="0"/>
        <w:spacing w:after="80" w:line="260" w:lineRule="atLeast"/>
        <w:textAlignment w:val="center"/>
        <w:rPr>
          <w:rFonts w:cstheme="minorHAnsi"/>
          <w:b/>
          <w:bCs/>
          <w:spacing w:val="4"/>
        </w:rPr>
      </w:pPr>
      <w:r w:rsidRPr="00F1533D">
        <w:rPr>
          <w:rFonts w:cstheme="minorHAnsi"/>
          <w:b/>
          <w:bCs/>
          <w:spacing w:val="4"/>
        </w:rPr>
        <w:t>[</w:t>
      </w:r>
      <w:r w:rsidR="00BE2FF4">
        <w:rPr>
          <w:rFonts w:cstheme="minorHAnsi"/>
          <w:b/>
          <w:bCs/>
          <w:spacing w:val="4"/>
        </w:rPr>
        <w:t xml:space="preserve">Insert </w:t>
      </w:r>
      <w:r w:rsidRPr="00F1533D">
        <w:rPr>
          <w:rFonts w:cstheme="minorHAnsi"/>
          <w:b/>
          <w:bCs/>
          <w:spacing w:val="4"/>
        </w:rPr>
        <w:t>Claim Number]</w:t>
      </w:r>
    </w:p>
    <w:p w14:paraId="4F530CE5" w14:textId="77777777" w:rsidR="005D2DDE" w:rsidRPr="00825590" w:rsidRDefault="005D2DDE" w:rsidP="00BE2C50">
      <w:pPr>
        <w:autoSpaceDE w:val="0"/>
        <w:autoSpaceDN w:val="0"/>
        <w:adjustRightInd w:val="0"/>
        <w:rPr>
          <w:rFonts w:cstheme="minorHAnsi"/>
          <w:color w:val="231F20"/>
        </w:rPr>
      </w:pPr>
    </w:p>
    <w:p w14:paraId="728B4C57" w14:textId="46C359A6" w:rsidR="00DF76A7" w:rsidRDefault="00DF76A7" w:rsidP="00542C13">
      <w:pPr>
        <w:autoSpaceDE w:val="0"/>
        <w:autoSpaceDN w:val="0"/>
        <w:adjustRightInd w:val="0"/>
        <w:spacing w:line="240" w:lineRule="auto"/>
        <w:rPr>
          <w:rFonts w:cstheme="minorHAnsi"/>
          <w:color w:val="231F20"/>
        </w:rPr>
      </w:pPr>
      <w:r w:rsidRPr="00825590">
        <w:rPr>
          <w:rFonts w:cstheme="minorHAnsi"/>
          <w:color w:val="231F20"/>
        </w:rPr>
        <w:t xml:space="preserve">To </w:t>
      </w:r>
      <w:r w:rsidR="00BE2C50" w:rsidRPr="00825590">
        <w:rPr>
          <w:rFonts w:cstheme="minorHAnsi"/>
          <w:color w:val="231F20"/>
        </w:rPr>
        <w:t>w</w:t>
      </w:r>
      <w:r w:rsidRPr="00825590">
        <w:rPr>
          <w:rFonts w:cstheme="minorHAnsi"/>
          <w:color w:val="231F20"/>
        </w:rPr>
        <w:t xml:space="preserve">hom </w:t>
      </w:r>
      <w:r w:rsidR="00BE2C50" w:rsidRPr="00825590">
        <w:rPr>
          <w:rFonts w:cstheme="minorHAnsi"/>
          <w:color w:val="231F20"/>
        </w:rPr>
        <w:t xml:space="preserve">it may concern: </w:t>
      </w:r>
    </w:p>
    <w:p w14:paraId="1CE0B58F" w14:textId="52312BE0" w:rsidR="00C85103" w:rsidRDefault="009B11DE" w:rsidP="00542C13">
      <w:pPr>
        <w:autoSpaceDE w:val="0"/>
        <w:autoSpaceDN w:val="0"/>
        <w:adjustRightInd w:val="0"/>
        <w:spacing w:line="240" w:lineRule="auto"/>
        <w:rPr>
          <w:rFonts w:cstheme="minorHAnsi"/>
          <w:color w:val="231F20"/>
        </w:rPr>
      </w:pPr>
      <w:r>
        <w:rPr>
          <w:rFonts w:cstheme="minorHAnsi"/>
          <w:color w:val="231F20"/>
        </w:rPr>
        <w:t>I am writing to provide additional information to support my claim</w:t>
      </w:r>
      <w:r w:rsidR="00853296">
        <w:rPr>
          <w:rFonts w:cstheme="minorHAnsi"/>
          <w:color w:val="231F20"/>
        </w:rPr>
        <w:t xml:space="preserve"> for</w:t>
      </w:r>
      <w:r w:rsidR="00C76DCE">
        <w:rPr>
          <w:rFonts w:cstheme="minorHAnsi"/>
          <w:color w:val="231F20"/>
        </w:rPr>
        <w:t xml:space="preserve"> </w:t>
      </w:r>
      <w:r w:rsidR="00C76DCE" w:rsidRPr="00AD70F4">
        <w:rPr>
          <w:rFonts w:cstheme="minorHAnsi"/>
          <w:b/>
          <w:bCs/>
          <w:color w:val="231F20"/>
        </w:rPr>
        <w:t>[</w:t>
      </w:r>
      <w:r w:rsidR="00C72326" w:rsidRPr="00AD70F4">
        <w:rPr>
          <w:rFonts w:cstheme="minorHAnsi"/>
          <w:b/>
          <w:bCs/>
          <w:color w:val="231F20"/>
        </w:rPr>
        <w:t>Insert P</w:t>
      </w:r>
      <w:r w:rsidR="00C76DCE" w:rsidRPr="00AD70F4">
        <w:rPr>
          <w:rFonts w:cstheme="minorHAnsi"/>
          <w:b/>
          <w:bCs/>
          <w:color w:val="231F20"/>
        </w:rPr>
        <w:t xml:space="preserve">atient </w:t>
      </w:r>
      <w:r w:rsidR="00C72326" w:rsidRPr="00AD70F4">
        <w:rPr>
          <w:rFonts w:cstheme="minorHAnsi"/>
          <w:b/>
          <w:bCs/>
          <w:color w:val="231F20"/>
        </w:rPr>
        <w:t>N</w:t>
      </w:r>
      <w:r w:rsidR="00C76DCE" w:rsidRPr="00AD70F4">
        <w:rPr>
          <w:rFonts w:cstheme="minorHAnsi"/>
          <w:b/>
          <w:bCs/>
          <w:color w:val="231F20"/>
        </w:rPr>
        <w:t xml:space="preserve">ame] </w:t>
      </w:r>
      <w:r w:rsidR="00853296">
        <w:rPr>
          <w:rFonts w:cstheme="minorHAnsi"/>
          <w:color w:val="231F20"/>
        </w:rPr>
        <w:t xml:space="preserve">with the treatment of </w:t>
      </w:r>
      <w:r w:rsidR="004D668F" w:rsidRPr="00D50529">
        <w:rPr>
          <w:rFonts w:cstheme="minorHAnsi"/>
          <w:b/>
          <w:bCs/>
          <w:color w:val="231F20"/>
        </w:rPr>
        <w:t>[</w:t>
      </w:r>
      <w:r w:rsidR="00C72326">
        <w:rPr>
          <w:rFonts w:cstheme="minorHAnsi"/>
          <w:b/>
          <w:bCs/>
          <w:color w:val="231F20"/>
        </w:rPr>
        <w:t xml:space="preserve">Insert </w:t>
      </w:r>
      <w:r w:rsidR="004D668F" w:rsidRPr="00D50529">
        <w:rPr>
          <w:rFonts w:cstheme="minorHAnsi"/>
          <w:b/>
          <w:bCs/>
          <w:color w:val="231F20"/>
        </w:rPr>
        <w:t>Gvoke HypoPen®</w:t>
      </w:r>
      <w:r w:rsidR="00C72326">
        <w:rPr>
          <w:rFonts w:cstheme="minorHAnsi"/>
          <w:b/>
          <w:bCs/>
          <w:color w:val="231F20"/>
        </w:rPr>
        <w:t xml:space="preserve">, </w:t>
      </w:r>
      <w:r w:rsidR="004D668F" w:rsidRPr="00D50529">
        <w:rPr>
          <w:rFonts w:cstheme="minorHAnsi"/>
          <w:b/>
          <w:bCs/>
          <w:color w:val="231F20"/>
        </w:rPr>
        <w:t>Gvoke® PFS</w:t>
      </w:r>
      <w:r w:rsidR="00C72326">
        <w:rPr>
          <w:rFonts w:cstheme="minorHAnsi"/>
          <w:b/>
          <w:bCs/>
          <w:color w:val="231F20"/>
        </w:rPr>
        <w:t xml:space="preserve">, or </w:t>
      </w:r>
      <w:r w:rsidR="004D668F" w:rsidRPr="00D50529">
        <w:rPr>
          <w:rFonts w:cstheme="minorHAnsi"/>
          <w:b/>
          <w:bCs/>
          <w:color w:val="231F20"/>
        </w:rPr>
        <w:t>Gvoke® Kit]</w:t>
      </w:r>
      <w:r w:rsidR="004D668F">
        <w:rPr>
          <w:rFonts w:cstheme="minorHAnsi"/>
          <w:color w:val="231F20"/>
        </w:rPr>
        <w:t xml:space="preserve"> </w:t>
      </w:r>
      <w:r w:rsidR="0040446F">
        <w:rPr>
          <w:rFonts w:cstheme="minorHAnsi"/>
          <w:color w:val="231F20"/>
        </w:rPr>
        <w:t>(glucagon injection)</w:t>
      </w:r>
      <w:r w:rsidR="002354E9">
        <w:rPr>
          <w:rFonts w:cstheme="minorHAnsi"/>
          <w:color w:val="231F20"/>
        </w:rPr>
        <w:t xml:space="preserve"> </w:t>
      </w:r>
      <w:r w:rsidR="00C72326">
        <w:rPr>
          <w:rFonts w:cstheme="minorHAnsi"/>
          <w:color w:val="231F20"/>
        </w:rPr>
        <w:t xml:space="preserve">for </w:t>
      </w:r>
      <w:r w:rsidR="00C72326" w:rsidRPr="00AD70F4">
        <w:rPr>
          <w:rFonts w:cstheme="minorHAnsi"/>
          <w:b/>
          <w:bCs/>
          <w:color w:val="231F20"/>
        </w:rPr>
        <w:t>[</w:t>
      </w:r>
      <w:r w:rsidR="00407FE6">
        <w:rPr>
          <w:rFonts w:cstheme="minorHAnsi"/>
          <w:b/>
          <w:bCs/>
          <w:color w:val="231F20"/>
        </w:rPr>
        <w:t xml:space="preserve">Insert </w:t>
      </w:r>
      <w:r w:rsidR="00C72326" w:rsidRPr="00AD70F4">
        <w:rPr>
          <w:rFonts w:cstheme="minorHAnsi"/>
          <w:b/>
          <w:bCs/>
          <w:color w:val="231F20"/>
        </w:rPr>
        <w:t>Diagnosis]</w:t>
      </w:r>
      <w:r w:rsidR="00AD70F4" w:rsidRPr="00AD70F4">
        <w:rPr>
          <w:rFonts w:cstheme="minorHAnsi"/>
          <w:color w:val="231F20"/>
        </w:rPr>
        <w:t>.</w:t>
      </w:r>
      <w:r w:rsidR="00AD70F4">
        <w:rPr>
          <w:rFonts w:cstheme="minorHAnsi"/>
          <w:color w:val="231F20"/>
        </w:rPr>
        <w:t xml:space="preserve"> </w:t>
      </w:r>
      <w:r w:rsidR="00674E63">
        <w:rPr>
          <w:rFonts w:cstheme="minorHAnsi"/>
          <w:color w:val="231F20"/>
        </w:rPr>
        <w:t>Following a complete medical assessment, I have deemed this treatment</w:t>
      </w:r>
      <w:r w:rsidR="003A728E">
        <w:rPr>
          <w:rFonts w:cstheme="minorHAnsi"/>
          <w:color w:val="231F20"/>
        </w:rPr>
        <w:t xml:space="preserve"> for </w:t>
      </w:r>
      <w:r w:rsidR="003A728E" w:rsidRPr="003A728E">
        <w:rPr>
          <w:rFonts w:cstheme="minorHAnsi"/>
          <w:b/>
          <w:bCs/>
          <w:color w:val="231F20"/>
        </w:rPr>
        <w:t>[Patient Name]</w:t>
      </w:r>
      <w:r w:rsidR="00674E63">
        <w:rPr>
          <w:rFonts w:cstheme="minorHAnsi"/>
          <w:color w:val="231F20"/>
        </w:rPr>
        <w:t xml:space="preserve"> </w:t>
      </w:r>
      <w:r w:rsidR="00BA0FAF">
        <w:rPr>
          <w:rFonts w:cstheme="minorHAnsi"/>
          <w:color w:val="231F20"/>
        </w:rPr>
        <w:t>medically necessary an</w:t>
      </w:r>
      <w:r w:rsidR="003A728E">
        <w:rPr>
          <w:rFonts w:cstheme="minorHAnsi"/>
          <w:color w:val="231F20"/>
        </w:rPr>
        <w:t>d</w:t>
      </w:r>
      <w:r w:rsidR="00BA0FAF">
        <w:rPr>
          <w:rFonts w:cstheme="minorHAnsi"/>
          <w:color w:val="231F20"/>
        </w:rPr>
        <w:t xml:space="preserve"> request </w:t>
      </w:r>
      <w:r w:rsidR="003A728E">
        <w:rPr>
          <w:rFonts w:cstheme="minorHAnsi"/>
          <w:color w:val="231F20"/>
        </w:rPr>
        <w:t xml:space="preserve">an </w:t>
      </w:r>
      <w:r w:rsidR="00BA0FAF">
        <w:rPr>
          <w:rFonts w:cstheme="minorHAnsi"/>
          <w:color w:val="231F20"/>
        </w:rPr>
        <w:t>urgent authorization</w:t>
      </w:r>
      <w:r w:rsidR="0093011C">
        <w:rPr>
          <w:rFonts w:cstheme="minorHAnsi"/>
          <w:color w:val="231F20"/>
        </w:rPr>
        <w:t xml:space="preserve"> </w:t>
      </w:r>
      <w:r w:rsidR="0018610B">
        <w:rPr>
          <w:rFonts w:cstheme="minorHAnsi"/>
          <w:color w:val="231F20"/>
        </w:rPr>
        <w:t xml:space="preserve">of </w:t>
      </w:r>
      <w:r w:rsidR="0018610B" w:rsidRPr="00D50529">
        <w:rPr>
          <w:rFonts w:cstheme="minorHAnsi"/>
          <w:b/>
          <w:bCs/>
          <w:color w:val="231F20"/>
        </w:rPr>
        <w:t>[</w:t>
      </w:r>
      <w:r w:rsidR="0018610B">
        <w:rPr>
          <w:rFonts w:cstheme="minorHAnsi"/>
          <w:b/>
          <w:bCs/>
          <w:color w:val="231F20"/>
        </w:rPr>
        <w:t xml:space="preserve">Insert </w:t>
      </w:r>
      <w:r w:rsidR="0018610B" w:rsidRPr="00D50529">
        <w:rPr>
          <w:rFonts w:cstheme="minorHAnsi"/>
          <w:b/>
          <w:bCs/>
          <w:color w:val="231F20"/>
        </w:rPr>
        <w:t>Gvoke HypoPen®</w:t>
      </w:r>
      <w:r w:rsidR="0018610B">
        <w:rPr>
          <w:rFonts w:cstheme="minorHAnsi"/>
          <w:b/>
          <w:bCs/>
          <w:color w:val="231F20"/>
        </w:rPr>
        <w:t xml:space="preserve">, </w:t>
      </w:r>
      <w:r w:rsidR="0018610B" w:rsidRPr="00D50529">
        <w:rPr>
          <w:rFonts w:cstheme="minorHAnsi"/>
          <w:b/>
          <w:bCs/>
          <w:color w:val="231F20"/>
        </w:rPr>
        <w:t>Gvoke® PFS</w:t>
      </w:r>
      <w:r w:rsidR="0018610B">
        <w:rPr>
          <w:rFonts w:cstheme="minorHAnsi"/>
          <w:b/>
          <w:bCs/>
          <w:color w:val="231F20"/>
        </w:rPr>
        <w:t xml:space="preserve">, or </w:t>
      </w:r>
      <w:r w:rsidR="0018610B" w:rsidRPr="00D50529">
        <w:rPr>
          <w:rFonts w:cstheme="minorHAnsi"/>
          <w:b/>
          <w:bCs/>
          <w:color w:val="231F20"/>
        </w:rPr>
        <w:t>Gvoke® Kit]</w:t>
      </w:r>
      <w:r w:rsidR="0018610B">
        <w:rPr>
          <w:rFonts w:cstheme="minorHAnsi"/>
          <w:color w:val="231F20"/>
        </w:rPr>
        <w:t xml:space="preserve">. </w:t>
      </w:r>
    </w:p>
    <w:p w14:paraId="3BE65494" w14:textId="40C710F0" w:rsidR="001E5748" w:rsidRPr="001E5748" w:rsidRDefault="00816871" w:rsidP="00426103">
      <w:pPr>
        <w:autoSpaceDE w:val="0"/>
        <w:autoSpaceDN w:val="0"/>
        <w:adjustRightInd w:val="0"/>
        <w:spacing w:line="240" w:lineRule="auto"/>
        <w:rPr>
          <w:rFonts w:cstheme="minorHAnsi"/>
        </w:rPr>
      </w:pPr>
      <w:r>
        <w:rPr>
          <w:rFonts w:cstheme="minorHAnsi"/>
          <w:color w:val="231F20"/>
        </w:rPr>
        <w:t xml:space="preserve">Below, this letter outlines </w:t>
      </w:r>
      <w:r w:rsidR="00045218" w:rsidRPr="00CC0CCE">
        <w:rPr>
          <w:rFonts w:cstheme="minorHAnsi"/>
          <w:b/>
          <w:bCs/>
          <w:color w:val="231F20"/>
        </w:rPr>
        <w:t>[</w:t>
      </w:r>
      <w:r w:rsidR="00407FE6">
        <w:rPr>
          <w:rFonts w:cstheme="minorHAnsi"/>
          <w:b/>
          <w:bCs/>
          <w:color w:val="231F20"/>
        </w:rPr>
        <w:t xml:space="preserve">Insert </w:t>
      </w:r>
      <w:r w:rsidR="00045218" w:rsidRPr="00CC0CCE">
        <w:rPr>
          <w:rFonts w:cstheme="minorHAnsi"/>
          <w:b/>
          <w:bCs/>
          <w:color w:val="231F20"/>
        </w:rPr>
        <w:t>Patient Name]</w:t>
      </w:r>
      <w:r w:rsidR="00045218">
        <w:rPr>
          <w:rFonts w:cstheme="minorHAnsi"/>
          <w:color w:val="231F20"/>
        </w:rPr>
        <w:t>’s relevant medical history and treatment rationale</w:t>
      </w:r>
      <w:r w:rsidR="006A5D27">
        <w:rPr>
          <w:rFonts w:cstheme="minorHAnsi"/>
          <w:color w:val="231F20"/>
        </w:rPr>
        <w:t xml:space="preserve">. </w:t>
      </w:r>
    </w:p>
    <w:p w14:paraId="7C75C307" w14:textId="77777777" w:rsidR="001E5748" w:rsidRDefault="001E5748" w:rsidP="00426103">
      <w:pPr>
        <w:autoSpaceDE w:val="0"/>
        <w:autoSpaceDN w:val="0"/>
        <w:adjustRightInd w:val="0"/>
        <w:spacing w:line="240" w:lineRule="auto"/>
        <w:rPr>
          <w:rFonts w:cstheme="minorHAnsi"/>
          <w:b/>
          <w:bCs/>
          <w:color w:val="231F20"/>
          <w:u w:val="single"/>
        </w:rPr>
      </w:pPr>
    </w:p>
    <w:p w14:paraId="44912F7B" w14:textId="2FE1974A" w:rsidR="00426103" w:rsidRPr="00825590" w:rsidRDefault="00A1527D" w:rsidP="00426103">
      <w:pPr>
        <w:autoSpaceDE w:val="0"/>
        <w:autoSpaceDN w:val="0"/>
        <w:adjustRightInd w:val="0"/>
        <w:spacing w:line="240" w:lineRule="auto"/>
        <w:rPr>
          <w:rFonts w:cstheme="minorHAnsi"/>
          <w:b/>
          <w:bCs/>
          <w:color w:val="231F20"/>
          <w:u w:val="single"/>
        </w:rPr>
      </w:pPr>
      <w:r>
        <w:rPr>
          <w:rFonts w:cstheme="minorHAnsi"/>
          <w:b/>
          <w:bCs/>
          <w:color w:val="231F20"/>
          <w:u w:val="single"/>
        </w:rPr>
        <w:t>[</w:t>
      </w:r>
      <w:r w:rsidRPr="002759A7">
        <w:rPr>
          <w:rFonts w:cstheme="minorHAnsi"/>
          <w:b/>
          <w:bCs/>
          <w:color w:val="231F20"/>
        </w:rPr>
        <w:t>Insert S</w:t>
      </w:r>
      <w:r w:rsidR="00594841" w:rsidRPr="002759A7">
        <w:rPr>
          <w:rFonts w:cstheme="minorHAnsi"/>
          <w:b/>
          <w:bCs/>
          <w:color w:val="231F20"/>
        </w:rPr>
        <w:t xml:space="preserve">ummary of </w:t>
      </w:r>
      <w:r w:rsidRPr="002759A7">
        <w:rPr>
          <w:rFonts w:cstheme="minorHAnsi"/>
          <w:b/>
          <w:bCs/>
          <w:color w:val="231F20"/>
        </w:rPr>
        <w:t>P</w:t>
      </w:r>
      <w:r w:rsidR="00594841" w:rsidRPr="002759A7">
        <w:rPr>
          <w:rFonts w:cstheme="minorHAnsi"/>
          <w:b/>
          <w:bCs/>
          <w:color w:val="231F20"/>
        </w:rPr>
        <w:t>atient’s</w:t>
      </w:r>
      <w:r w:rsidRPr="002759A7">
        <w:rPr>
          <w:rFonts w:cstheme="minorHAnsi"/>
          <w:b/>
          <w:bCs/>
          <w:color w:val="231F20"/>
        </w:rPr>
        <w:t xml:space="preserve"> H</w:t>
      </w:r>
      <w:r w:rsidR="00594841" w:rsidRPr="002759A7">
        <w:rPr>
          <w:rFonts w:cstheme="minorHAnsi"/>
          <w:b/>
          <w:bCs/>
          <w:color w:val="231F20"/>
        </w:rPr>
        <w:t>istory</w:t>
      </w:r>
      <w:r w:rsidRPr="002759A7">
        <w:rPr>
          <w:rFonts w:cstheme="minorHAnsi"/>
          <w:b/>
          <w:bCs/>
          <w:color w:val="231F20"/>
        </w:rPr>
        <w:t>]</w:t>
      </w:r>
    </w:p>
    <w:p w14:paraId="5BC66167" w14:textId="55166AED" w:rsidR="00C1318B" w:rsidRPr="002759A7" w:rsidRDefault="00C1318B" w:rsidP="00426103">
      <w:pPr>
        <w:autoSpaceDE w:val="0"/>
        <w:autoSpaceDN w:val="0"/>
        <w:adjustRightInd w:val="0"/>
        <w:spacing w:line="240" w:lineRule="auto"/>
        <w:rPr>
          <w:rFonts w:cstheme="minorHAnsi"/>
          <w:u w:val="single"/>
        </w:rPr>
      </w:pPr>
      <w:r w:rsidRPr="002759A7">
        <w:rPr>
          <w:rFonts w:cstheme="minorHAnsi"/>
        </w:rPr>
        <w:t>You may want to include:</w:t>
      </w:r>
    </w:p>
    <w:p w14:paraId="14AD3883" w14:textId="1AECACEA" w:rsidR="00065DF7" w:rsidRPr="00825590" w:rsidRDefault="0052615C" w:rsidP="00F869E4">
      <w:pPr>
        <w:pStyle w:val="ListParagraph"/>
        <w:numPr>
          <w:ilvl w:val="0"/>
          <w:numId w:val="9"/>
        </w:numPr>
        <w:autoSpaceDE w:val="0"/>
        <w:autoSpaceDN w:val="0"/>
        <w:adjustRightInd w:val="0"/>
        <w:spacing w:line="240" w:lineRule="auto"/>
        <w:rPr>
          <w:rFonts w:cstheme="minorHAnsi"/>
          <w:color w:val="231F20"/>
        </w:rPr>
      </w:pPr>
      <w:r w:rsidRPr="00825590">
        <w:rPr>
          <w:rFonts w:cstheme="minorHAnsi"/>
          <w:color w:val="231F20"/>
        </w:rPr>
        <w:t>Diagnosis code and date of diagnosis</w:t>
      </w:r>
    </w:p>
    <w:p w14:paraId="05A0DDDB" w14:textId="03671E07" w:rsidR="00065DF7" w:rsidRPr="00825590" w:rsidRDefault="0052615C" w:rsidP="00F869E4">
      <w:pPr>
        <w:pStyle w:val="ListParagraph"/>
        <w:numPr>
          <w:ilvl w:val="0"/>
          <w:numId w:val="9"/>
        </w:numPr>
        <w:autoSpaceDE w:val="0"/>
        <w:autoSpaceDN w:val="0"/>
        <w:adjustRightInd w:val="0"/>
        <w:spacing w:line="240" w:lineRule="auto"/>
        <w:rPr>
          <w:rFonts w:cstheme="minorHAnsi"/>
          <w:color w:val="231F20"/>
        </w:rPr>
      </w:pPr>
      <w:r w:rsidRPr="00825590">
        <w:rPr>
          <w:rFonts w:cstheme="minorHAnsi"/>
          <w:color w:val="231F20"/>
        </w:rPr>
        <w:t>Patient medical records</w:t>
      </w:r>
    </w:p>
    <w:p w14:paraId="15655B83" w14:textId="3562F7CF" w:rsidR="004C1343" w:rsidRPr="00825590" w:rsidRDefault="004C1343" w:rsidP="0052615C">
      <w:pPr>
        <w:pStyle w:val="ListParagraph"/>
        <w:numPr>
          <w:ilvl w:val="0"/>
          <w:numId w:val="9"/>
        </w:numPr>
        <w:autoSpaceDE w:val="0"/>
        <w:autoSpaceDN w:val="0"/>
        <w:adjustRightInd w:val="0"/>
        <w:spacing w:line="240" w:lineRule="auto"/>
        <w:rPr>
          <w:rFonts w:cstheme="minorHAnsi"/>
          <w:color w:val="231F20"/>
        </w:rPr>
      </w:pPr>
      <w:r w:rsidRPr="00825590">
        <w:rPr>
          <w:rFonts w:cstheme="minorHAnsi"/>
          <w:color w:val="231F20"/>
        </w:rPr>
        <w:t xml:space="preserve">Patient’s current diabetes treatment </w:t>
      </w:r>
      <w:r w:rsidR="0052615C" w:rsidRPr="00825590">
        <w:rPr>
          <w:rFonts w:cstheme="minorHAnsi"/>
          <w:color w:val="231F20"/>
        </w:rPr>
        <w:t xml:space="preserve">regimen </w:t>
      </w:r>
      <w:r w:rsidRPr="00825590">
        <w:rPr>
          <w:rFonts w:cstheme="minorHAnsi"/>
          <w:color w:val="231F20"/>
        </w:rPr>
        <w:t>that may increase risk of severe hypoglycemia</w:t>
      </w:r>
    </w:p>
    <w:p w14:paraId="32744646" w14:textId="50510668" w:rsidR="0066197D" w:rsidRDefault="0066197D" w:rsidP="002774F6">
      <w:pPr>
        <w:pStyle w:val="ListParagraph"/>
        <w:numPr>
          <w:ilvl w:val="0"/>
          <w:numId w:val="9"/>
        </w:numPr>
        <w:autoSpaceDE w:val="0"/>
        <w:autoSpaceDN w:val="0"/>
        <w:adjustRightInd w:val="0"/>
        <w:spacing w:line="240" w:lineRule="auto"/>
        <w:rPr>
          <w:rFonts w:cstheme="minorHAnsi"/>
          <w:color w:val="231F20"/>
        </w:rPr>
      </w:pPr>
      <w:r w:rsidRPr="00825590">
        <w:rPr>
          <w:rFonts w:cstheme="minorHAnsi"/>
          <w:color w:val="231F20"/>
        </w:rPr>
        <w:t xml:space="preserve">Recent symptoms and conditions including </w:t>
      </w:r>
      <w:r w:rsidR="0020428A" w:rsidRPr="00825590">
        <w:rPr>
          <w:rFonts w:cstheme="minorHAnsi"/>
          <w:color w:val="231F20"/>
        </w:rPr>
        <w:t xml:space="preserve">past hypoglycemic event information </w:t>
      </w:r>
    </w:p>
    <w:p w14:paraId="1850007F" w14:textId="5F039BCB" w:rsidR="00A9685A" w:rsidRPr="00A9685A" w:rsidRDefault="00A9685A" w:rsidP="00A9685A">
      <w:pPr>
        <w:pStyle w:val="ListParagraph"/>
        <w:numPr>
          <w:ilvl w:val="0"/>
          <w:numId w:val="9"/>
        </w:numPr>
        <w:autoSpaceDE w:val="0"/>
        <w:autoSpaceDN w:val="0"/>
        <w:adjustRightInd w:val="0"/>
        <w:spacing w:line="240" w:lineRule="auto"/>
        <w:rPr>
          <w:rFonts w:cstheme="minorHAnsi"/>
          <w:color w:val="231F20"/>
        </w:rPr>
      </w:pPr>
      <w:r w:rsidRPr="00825590">
        <w:rPr>
          <w:rFonts w:cstheme="minorHAnsi"/>
          <w:color w:val="231F20"/>
        </w:rPr>
        <w:t>Previously tried/failed glucagon treatments</w:t>
      </w:r>
    </w:p>
    <w:p w14:paraId="68BB16E0" w14:textId="77777777" w:rsidR="001E5748" w:rsidRDefault="001E5748" w:rsidP="00E86F20">
      <w:pPr>
        <w:autoSpaceDE w:val="0"/>
        <w:autoSpaceDN w:val="0"/>
        <w:adjustRightInd w:val="0"/>
        <w:spacing w:line="240" w:lineRule="auto"/>
        <w:rPr>
          <w:rFonts w:cstheme="minorHAnsi"/>
          <w:b/>
          <w:bCs/>
          <w:color w:val="231F20"/>
        </w:rPr>
      </w:pPr>
    </w:p>
    <w:p w14:paraId="5412BF46" w14:textId="0E4784B7" w:rsidR="00E86F20" w:rsidRPr="00407FE6" w:rsidRDefault="0065265C" w:rsidP="00E86F20">
      <w:pPr>
        <w:autoSpaceDE w:val="0"/>
        <w:autoSpaceDN w:val="0"/>
        <w:adjustRightInd w:val="0"/>
        <w:spacing w:line="240" w:lineRule="auto"/>
        <w:rPr>
          <w:rFonts w:cstheme="minorHAnsi"/>
          <w:b/>
          <w:bCs/>
          <w:color w:val="231F20"/>
        </w:rPr>
      </w:pPr>
      <w:r w:rsidRPr="00407FE6">
        <w:rPr>
          <w:rFonts w:cstheme="minorHAnsi"/>
          <w:b/>
          <w:bCs/>
          <w:color w:val="231F20"/>
        </w:rPr>
        <w:t xml:space="preserve">[Insert </w:t>
      </w:r>
      <w:r w:rsidR="00E86F20" w:rsidRPr="00407FE6">
        <w:rPr>
          <w:rFonts w:cstheme="minorHAnsi"/>
          <w:b/>
          <w:bCs/>
          <w:color w:val="231F20"/>
        </w:rPr>
        <w:t xml:space="preserve">Rationale for </w:t>
      </w:r>
      <w:r w:rsidRPr="00407FE6">
        <w:rPr>
          <w:rFonts w:cstheme="minorHAnsi"/>
          <w:b/>
          <w:bCs/>
          <w:color w:val="231F20"/>
        </w:rPr>
        <w:t>T</w:t>
      </w:r>
      <w:r w:rsidR="00E86F20" w:rsidRPr="00407FE6">
        <w:rPr>
          <w:rFonts w:cstheme="minorHAnsi"/>
          <w:b/>
          <w:bCs/>
          <w:color w:val="231F20"/>
        </w:rPr>
        <w:t>reatment</w:t>
      </w:r>
      <w:r w:rsidR="00FD4D4C" w:rsidRPr="00407FE6">
        <w:rPr>
          <w:rFonts w:cstheme="minorHAnsi"/>
          <w:b/>
          <w:bCs/>
          <w:color w:val="231F20"/>
        </w:rPr>
        <w:t>]</w:t>
      </w:r>
    </w:p>
    <w:p w14:paraId="5369B078" w14:textId="1AFB8565" w:rsidR="00732048" w:rsidRPr="00FD4D4C" w:rsidRDefault="00D66567" w:rsidP="0052615C">
      <w:pPr>
        <w:autoSpaceDE w:val="0"/>
        <w:autoSpaceDN w:val="0"/>
        <w:adjustRightInd w:val="0"/>
        <w:spacing w:line="240" w:lineRule="auto"/>
        <w:rPr>
          <w:rFonts w:cstheme="minorHAnsi"/>
        </w:rPr>
      </w:pPr>
      <w:r w:rsidRPr="00FD4D4C">
        <w:rPr>
          <w:rFonts w:cstheme="minorHAnsi"/>
        </w:rPr>
        <w:t>You may want to include:</w:t>
      </w:r>
    </w:p>
    <w:p w14:paraId="16ED6683" w14:textId="3E393ED8" w:rsidR="00D66567" w:rsidRPr="00825590" w:rsidRDefault="00224A07" w:rsidP="00D66567">
      <w:pPr>
        <w:pStyle w:val="ListParagraph"/>
        <w:numPr>
          <w:ilvl w:val="0"/>
          <w:numId w:val="11"/>
        </w:numPr>
        <w:autoSpaceDE w:val="0"/>
        <w:autoSpaceDN w:val="0"/>
        <w:adjustRightInd w:val="0"/>
        <w:spacing w:line="240" w:lineRule="auto"/>
        <w:rPr>
          <w:rFonts w:cstheme="minorHAnsi"/>
          <w:color w:val="231F20"/>
        </w:rPr>
      </w:pPr>
      <w:r w:rsidRPr="00825590">
        <w:rPr>
          <w:rFonts w:cstheme="minorHAnsi"/>
          <w:color w:val="231F20"/>
        </w:rPr>
        <w:t>Determination that</w:t>
      </w:r>
      <w:r w:rsidR="006560E8" w:rsidRPr="00825590">
        <w:rPr>
          <w:rFonts w:cstheme="minorHAnsi"/>
          <w:color w:val="231F20"/>
        </w:rPr>
        <w:t xml:space="preserve"> patient </w:t>
      </w:r>
      <w:r w:rsidR="007C7494" w:rsidRPr="00825590">
        <w:rPr>
          <w:rFonts w:cstheme="minorHAnsi"/>
          <w:color w:val="231F20"/>
        </w:rPr>
        <w:t xml:space="preserve">would be unlikely to </w:t>
      </w:r>
      <w:r w:rsidR="00F06E38" w:rsidRPr="00825590">
        <w:rPr>
          <w:rFonts w:cstheme="minorHAnsi"/>
          <w:color w:val="231F20"/>
        </w:rPr>
        <w:t xml:space="preserve">successfully assemble or administer </w:t>
      </w:r>
      <w:r w:rsidR="00E47E94" w:rsidRPr="00825590">
        <w:rPr>
          <w:rFonts w:cstheme="minorHAnsi"/>
          <w:color w:val="231F20"/>
        </w:rPr>
        <w:t xml:space="preserve">alternative treatment options </w:t>
      </w:r>
      <w:r w:rsidR="00F06E38" w:rsidRPr="00825590">
        <w:rPr>
          <w:rFonts w:cstheme="minorHAnsi"/>
          <w:color w:val="231F20"/>
        </w:rPr>
        <w:t xml:space="preserve">during a severe hypoglycemic event </w:t>
      </w:r>
      <w:r w:rsidR="0045605C" w:rsidRPr="00825590">
        <w:rPr>
          <w:rFonts w:cstheme="minorHAnsi"/>
          <w:color w:val="231F20"/>
        </w:rPr>
        <w:t>due to</w:t>
      </w:r>
      <w:r w:rsidR="004B52D8" w:rsidRPr="00825590">
        <w:rPr>
          <w:rFonts w:cstheme="minorHAnsi"/>
          <w:color w:val="231F20"/>
        </w:rPr>
        <w:t xml:space="preserve"> [lack of dexterity</w:t>
      </w:r>
      <w:r w:rsidR="006517D1" w:rsidRPr="00825590">
        <w:rPr>
          <w:rFonts w:cstheme="minorHAnsi"/>
          <w:color w:val="231F20"/>
        </w:rPr>
        <w:t xml:space="preserve"> to assemble and/or hold for 10 seconds, unable to open, poor vision/cannot read instructions, poor memory, become agitated or panicked, low health literacy, lives alone</w:t>
      </w:r>
      <w:r w:rsidR="00D031E8" w:rsidRPr="00825590">
        <w:rPr>
          <w:rFonts w:cstheme="minorHAnsi"/>
          <w:color w:val="231F20"/>
        </w:rPr>
        <w:t>]</w:t>
      </w:r>
      <w:r w:rsidR="00300EE0">
        <w:rPr>
          <w:rFonts w:cstheme="minorHAnsi"/>
          <w:color w:val="231F20"/>
        </w:rPr>
        <w:t>.</w:t>
      </w:r>
    </w:p>
    <w:p w14:paraId="1AD7264D" w14:textId="77777777" w:rsidR="00732048" w:rsidRPr="00825590" w:rsidRDefault="00732048" w:rsidP="00732048">
      <w:pPr>
        <w:pStyle w:val="ListParagraph"/>
        <w:numPr>
          <w:ilvl w:val="0"/>
          <w:numId w:val="11"/>
        </w:numPr>
        <w:autoSpaceDE w:val="0"/>
        <w:autoSpaceDN w:val="0"/>
        <w:adjustRightInd w:val="0"/>
        <w:spacing w:line="240" w:lineRule="auto"/>
        <w:rPr>
          <w:rFonts w:cstheme="minorHAnsi"/>
          <w:color w:val="231F20"/>
        </w:rPr>
      </w:pPr>
      <w:r w:rsidRPr="00825590">
        <w:rPr>
          <w:rFonts w:cstheme="minorHAnsi"/>
          <w:color w:val="231F20"/>
        </w:rPr>
        <w:t xml:space="preserve">Explanation for why alternative treatment options would not be as effective as the prescribed medication, and therefore the requested medication is medically necessary. </w:t>
      </w:r>
    </w:p>
    <w:p w14:paraId="7C0F8CA8" w14:textId="57818812" w:rsidR="0052615C" w:rsidRPr="00825590" w:rsidRDefault="0052615C" w:rsidP="00732048">
      <w:pPr>
        <w:pStyle w:val="ListParagraph"/>
        <w:numPr>
          <w:ilvl w:val="0"/>
          <w:numId w:val="11"/>
        </w:numPr>
        <w:autoSpaceDE w:val="0"/>
        <w:autoSpaceDN w:val="0"/>
        <w:adjustRightInd w:val="0"/>
        <w:spacing w:line="240" w:lineRule="auto"/>
        <w:rPr>
          <w:rFonts w:cstheme="minorHAnsi"/>
          <w:color w:val="231F20"/>
        </w:rPr>
      </w:pPr>
      <w:r w:rsidRPr="00825590">
        <w:rPr>
          <w:rFonts w:cstheme="minorHAnsi"/>
          <w:color w:val="231F20"/>
        </w:rPr>
        <w:lastRenderedPageBreak/>
        <w:t xml:space="preserve">Determination that the alternative treatment option presents risk of immunogenicity, potentially rendering the rescue medication ineffective. Therefore, the requested medication is medically necessary. </w:t>
      </w:r>
    </w:p>
    <w:p w14:paraId="29D81AF6" w14:textId="77D258C7" w:rsidR="001E5748" w:rsidRDefault="00142EDD" w:rsidP="001E5748">
      <w:pPr>
        <w:autoSpaceDE w:val="0"/>
        <w:autoSpaceDN w:val="0"/>
        <w:adjustRightInd w:val="0"/>
        <w:spacing w:line="240" w:lineRule="auto"/>
        <w:rPr>
          <w:rFonts w:cstheme="minorHAnsi"/>
          <w:color w:val="231F20"/>
        </w:rPr>
      </w:pPr>
      <w:r>
        <w:rPr>
          <w:rFonts w:cstheme="minorHAnsi"/>
          <w:color w:val="231F20"/>
        </w:rPr>
        <w:t>Based on these facts</w:t>
      </w:r>
      <w:r w:rsidR="00FE69AB">
        <w:rPr>
          <w:rFonts w:cstheme="minorHAnsi"/>
          <w:color w:val="231F20"/>
        </w:rPr>
        <w:t xml:space="preserve"> and my medical assessment,</w:t>
      </w:r>
      <w:r>
        <w:rPr>
          <w:rFonts w:cstheme="minorHAnsi"/>
          <w:color w:val="231F20"/>
        </w:rPr>
        <w:t xml:space="preserve"> </w:t>
      </w:r>
      <w:r w:rsidRPr="00312DFA">
        <w:rPr>
          <w:rFonts w:cstheme="minorHAnsi"/>
          <w:b/>
          <w:bCs/>
          <w:color w:val="231F20"/>
        </w:rPr>
        <w:t>[</w:t>
      </w:r>
      <w:r w:rsidR="00FE69AB">
        <w:rPr>
          <w:rFonts w:cstheme="minorHAnsi"/>
          <w:b/>
          <w:bCs/>
          <w:color w:val="231F20"/>
        </w:rPr>
        <w:t xml:space="preserve">Insert </w:t>
      </w:r>
      <w:r w:rsidRPr="00312DFA">
        <w:rPr>
          <w:rFonts w:cstheme="minorHAnsi"/>
          <w:b/>
          <w:bCs/>
          <w:color w:val="231F20"/>
        </w:rPr>
        <w:t>Gvoke HypoPen</w:t>
      </w:r>
      <w:r w:rsidR="00312DFA">
        <w:rPr>
          <w:rFonts w:cstheme="minorHAnsi"/>
          <w:b/>
          <w:bCs/>
          <w:color w:val="231F20"/>
        </w:rPr>
        <w:t>®</w:t>
      </w:r>
      <w:r w:rsidR="00FE69AB">
        <w:rPr>
          <w:rFonts w:cstheme="minorHAnsi"/>
          <w:b/>
          <w:bCs/>
          <w:color w:val="231F20"/>
        </w:rPr>
        <w:t xml:space="preserve">, </w:t>
      </w:r>
      <w:r w:rsidRPr="00312DFA">
        <w:rPr>
          <w:rFonts w:cstheme="minorHAnsi"/>
          <w:b/>
          <w:bCs/>
          <w:color w:val="231F20"/>
        </w:rPr>
        <w:t>Gvoke</w:t>
      </w:r>
      <w:r w:rsidR="00312DFA">
        <w:rPr>
          <w:rFonts w:cstheme="minorHAnsi"/>
          <w:b/>
          <w:bCs/>
          <w:color w:val="231F20"/>
        </w:rPr>
        <w:t>®</w:t>
      </w:r>
      <w:r w:rsidRPr="00312DFA">
        <w:rPr>
          <w:rFonts w:cstheme="minorHAnsi"/>
          <w:b/>
          <w:bCs/>
          <w:color w:val="231F20"/>
        </w:rPr>
        <w:t xml:space="preserve"> PFS</w:t>
      </w:r>
      <w:r w:rsidR="00FE69AB">
        <w:rPr>
          <w:rFonts w:cstheme="minorHAnsi"/>
          <w:b/>
          <w:bCs/>
          <w:color w:val="231F20"/>
        </w:rPr>
        <w:t xml:space="preserve">, or </w:t>
      </w:r>
      <w:r w:rsidRPr="00312DFA">
        <w:rPr>
          <w:rFonts w:cstheme="minorHAnsi"/>
          <w:b/>
          <w:bCs/>
          <w:color w:val="231F20"/>
        </w:rPr>
        <w:t>Gvoke</w:t>
      </w:r>
      <w:r w:rsidR="00312DFA">
        <w:rPr>
          <w:rFonts w:cstheme="minorHAnsi"/>
          <w:b/>
          <w:bCs/>
          <w:color w:val="231F20"/>
        </w:rPr>
        <w:t>®</w:t>
      </w:r>
      <w:r w:rsidRPr="00312DFA">
        <w:rPr>
          <w:rFonts w:cstheme="minorHAnsi"/>
          <w:b/>
          <w:bCs/>
          <w:color w:val="231F20"/>
        </w:rPr>
        <w:t xml:space="preserve"> Kit]</w:t>
      </w:r>
      <w:r w:rsidR="003E16DE">
        <w:rPr>
          <w:rFonts w:cstheme="minorHAnsi"/>
          <w:color w:val="231F20"/>
        </w:rPr>
        <w:t xml:space="preserve"> is medically necessary and the best therapeutic choice for </w:t>
      </w:r>
      <w:r w:rsidR="003E16DE" w:rsidRPr="00FE69AB">
        <w:rPr>
          <w:rFonts w:cstheme="minorHAnsi"/>
          <w:b/>
          <w:bCs/>
          <w:color w:val="231F20"/>
        </w:rPr>
        <w:t>[</w:t>
      </w:r>
      <w:r w:rsidR="00FE69AB">
        <w:rPr>
          <w:rFonts w:cstheme="minorHAnsi"/>
          <w:b/>
          <w:bCs/>
          <w:color w:val="231F20"/>
        </w:rPr>
        <w:t xml:space="preserve">Insert </w:t>
      </w:r>
      <w:r w:rsidR="003E16DE" w:rsidRPr="00FE69AB">
        <w:rPr>
          <w:rFonts w:cstheme="minorHAnsi"/>
          <w:b/>
          <w:bCs/>
          <w:color w:val="231F20"/>
        </w:rPr>
        <w:t>Patient Name]</w:t>
      </w:r>
      <w:r w:rsidR="00AE01CB">
        <w:rPr>
          <w:rFonts w:cstheme="minorHAnsi"/>
          <w:color w:val="231F20"/>
        </w:rPr>
        <w:t xml:space="preserve">. We appreciate your consideration </w:t>
      </w:r>
      <w:r w:rsidR="009F493B">
        <w:rPr>
          <w:rFonts w:cstheme="minorHAnsi"/>
          <w:color w:val="231F20"/>
        </w:rPr>
        <w:t xml:space="preserve">of </w:t>
      </w:r>
      <w:r w:rsidR="009F493B" w:rsidRPr="00FE69AB">
        <w:rPr>
          <w:rFonts w:cstheme="minorHAnsi"/>
          <w:b/>
          <w:bCs/>
          <w:color w:val="231F20"/>
        </w:rPr>
        <w:t>[</w:t>
      </w:r>
      <w:r w:rsidR="00FE69AB">
        <w:rPr>
          <w:rFonts w:cstheme="minorHAnsi"/>
          <w:b/>
          <w:bCs/>
          <w:color w:val="231F20"/>
        </w:rPr>
        <w:t xml:space="preserve">Insert </w:t>
      </w:r>
      <w:r w:rsidR="009F493B" w:rsidRPr="00FE69AB">
        <w:rPr>
          <w:rFonts w:cstheme="minorHAnsi"/>
          <w:b/>
          <w:bCs/>
          <w:color w:val="231F20"/>
        </w:rPr>
        <w:t>Patient Name]</w:t>
      </w:r>
      <w:r w:rsidR="009F493B">
        <w:rPr>
          <w:rFonts w:cstheme="minorHAnsi"/>
          <w:color w:val="231F20"/>
        </w:rPr>
        <w:t xml:space="preserve">’s medical needs. If you have any questions or require </w:t>
      </w:r>
      <w:r w:rsidR="00312DFA">
        <w:rPr>
          <w:rFonts w:cstheme="minorHAnsi"/>
          <w:color w:val="231F20"/>
        </w:rPr>
        <w:t xml:space="preserve">additional information, please contact me at </w:t>
      </w:r>
      <w:r w:rsidR="00312DFA" w:rsidRPr="00FE69AB">
        <w:rPr>
          <w:rFonts w:cstheme="minorHAnsi"/>
          <w:b/>
          <w:bCs/>
          <w:color w:val="231F20"/>
        </w:rPr>
        <w:t>[</w:t>
      </w:r>
      <w:r w:rsidR="00FE69AB">
        <w:rPr>
          <w:rFonts w:cstheme="minorHAnsi"/>
          <w:b/>
          <w:bCs/>
          <w:color w:val="231F20"/>
        </w:rPr>
        <w:t xml:space="preserve">Insert </w:t>
      </w:r>
      <w:r w:rsidR="00312DFA" w:rsidRPr="00FE69AB">
        <w:rPr>
          <w:rFonts w:cstheme="minorHAnsi"/>
          <w:b/>
          <w:bCs/>
          <w:color w:val="231F20"/>
        </w:rPr>
        <w:t>Phone Number]</w:t>
      </w:r>
      <w:r w:rsidR="00312DFA">
        <w:rPr>
          <w:rFonts w:cstheme="minorHAnsi"/>
          <w:color w:val="231F20"/>
        </w:rPr>
        <w:t>.</w:t>
      </w:r>
    </w:p>
    <w:p w14:paraId="0C3E4BF9" w14:textId="77777777" w:rsidR="00DB1CDB" w:rsidRDefault="00DB1CDB" w:rsidP="00BE2C50">
      <w:pPr>
        <w:rPr>
          <w:rFonts w:cstheme="minorHAnsi"/>
          <w:color w:val="231F20"/>
        </w:rPr>
      </w:pPr>
    </w:p>
    <w:p w14:paraId="076F119D" w14:textId="2A1895F9" w:rsidR="00DF76A7" w:rsidRPr="00825590" w:rsidRDefault="00DF76A7" w:rsidP="00BE2C50">
      <w:pPr>
        <w:rPr>
          <w:rFonts w:cstheme="minorHAnsi"/>
          <w:color w:val="231F20"/>
        </w:rPr>
      </w:pPr>
      <w:r w:rsidRPr="00825590">
        <w:rPr>
          <w:rFonts w:cstheme="minorHAnsi"/>
          <w:color w:val="231F20"/>
        </w:rPr>
        <w:t>Sincerely,</w:t>
      </w:r>
    </w:p>
    <w:p w14:paraId="40909D85" w14:textId="584B0E8A" w:rsidR="000275BC" w:rsidRPr="00D42343" w:rsidRDefault="000275BC" w:rsidP="000275BC">
      <w:pPr>
        <w:tabs>
          <w:tab w:val="left" w:pos="180"/>
          <w:tab w:val="left" w:pos="389"/>
        </w:tabs>
        <w:suppressAutoHyphens/>
        <w:autoSpaceDE w:val="0"/>
        <w:autoSpaceDN w:val="0"/>
        <w:adjustRightInd w:val="0"/>
        <w:spacing w:after="80" w:line="260" w:lineRule="atLeast"/>
        <w:textAlignment w:val="center"/>
        <w:rPr>
          <w:rFonts w:cstheme="minorHAnsi"/>
          <w:b/>
          <w:bCs/>
          <w:spacing w:val="4"/>
        </w:rPr>
      </w:pPr>
      <w:r w:rsidRPr="00D42343">
        <w:rPr>
          <w:rFonts w:cstheme="minorHAnsi"/>
          <w:b/>
          <w:bCs/>
          <w:spacing w:val="4"/>
        </w:rPr>
        <w:t>[</w:t>
      </w:r>
      <w:r w:rsidR="00AE1228">
        <w:rPr>
          <w:rFonts w:cstheme="minorHAnsi"/>
          <w:b/>
          <w:bCs/>
          <w:spacing w:val="4"/>
        </w:rPr>
        <w:t xml:space="preserve">Insert </w:t>
      </w:r>
      <w:r w:rsidRPr="00D42343">
        <w:rPr>
          <w:rFonts w:cstheme="minorHAnsi"/>
          <w:b/>
          <w:bCs/>
          <w:spacing w:val="4"/>
        </w:rPr>
        <w:t>Physician Name</w:t>
      </w:r>
      <w:r w:rsidR="00574479">
        <w:rPr>
          <w:rFonts w:cstheme="minorHAnsi"/>
          <w:b/>
          <w:bCs/>
          <w:spacing w:val="4"/>
        </w:rPr>
        <w:t xml:space="preserve"> and NPI Number</w:t>
      </w:r>
      <w:r w:rsidRPr="00D42343">
        <w:rPr>
          <w:rFonts w:cstheme="minorHAnsi"/>
          <w:b/>
          <w:bCs/>
          <w:spacing w:val="4"/>
        </w:rPr>
        <w:t xml:space="preserve">] </w:t>
      </w:r>
    </w:p>
    <w:p w14:paraId="28C24CB6" w14:textId="77777777" w:rsidR="001E5748" w:rsidRDefault="001E5748" w:rsidP="00F76CC3">
      <w:pPr>
        <w:autoSpaceDE w:val="0"/>
        <w:autoSpaceDN w:val="0"/>
        <w:adjustRightInd w:val="0"/>
        <w:spacing w:after="0" w:line="240" w:lineRule="auto"/>
        <w:rPr>
          <w:rFonts w:cstheme="minorHAnsi"/>
          <w:b/>
          <w:bCs/>
          <w:spacing w:val="4"/>
        </w:rPr>
      </w:pPr>
    </w:p>
    <w:p w14:paraId="074564DF" w14:textId="628F266F" w:rsidR="003D61A2" w:rsidRDefault="003D61A2" w:rsidP="00F76CC3">
      <w:pPr>
        <w:autoSpaceDE w:val="0"/>
        <w:autoSpaceDN w:val="0"/>
        <w:adjustRightInd w:val="0"/>
        <w:spacing w:after="0" w:line="240" w:lineRule="auto"/>
        <w:rPr>
          <w:rFonts w:cstheme="minorHAnsi"/>
          <w:b/>
          <w:bCs/>
          <w:spacing w:val="4"/>
        </w:rPr>
      </w:pPr>
      <w:r>
        <w:rPr>
          <w:rFonts w:cstheme="minorHAnsi"/>
          <w:b/>
          <w:bCs/>
          <w:spacing w:val="4"/>
        </w:rPr>
        <w:t>[</w:t>
      </w:r>
      <w:r w:rsidRPr="00313B60">
        <w:rPr>
          <w:rFonts w:cstheme="minorHAnsi"/>
          <w:b/>
          <w:bCs/>
          <w:spacing w:val="4"/>
          <w:u w:val="single"/>
        </w:rPr>
        <w:t>Mandatory Enclosures:</w:t>
      </w:r>
      <w:r>
        <w:rPr>
          <w:rFonts w:cstheme="minorHAnsi"/>
          <w:b/>
          <w:bCs/>
          <w:spacing w:val="4"/>
        </w:rPr>
        <w:t>]</w:t>
      </w:r>
    </w:p>
    <w:p w14:paraId="06489C0E" w14:textId="1449D49C" w:rsidR="003D61A2" w:rsidRPr="003D61A2" w:rsidRDefault="003D61A2" w:rsidP="003D61A2">
      <w:pPr>
        <w:pStyle w:val="ListParagraph"/>
        <w:numPr>
          <w:ilvl w:val="0"/>
          <w:numId w:val="14"/>
        </w:numPr>
        <w:autoSpaceDE w:val="0"/>
        <w:autoSpaceDN w:val="0"/>
        <w:adjustRightInd w:val="0"/>
        <w:spacing w:after="0" w:line="240" w:lineRule="auto"/>
        <w:rPr>
          <w:rFonts w:cstheme="minorHAnsi"/>
          <w:spacing w:val="4"/>
        </w:rPr>
      </w:pPr>
      <w:r w:rsidRPr="003D61A2">
        <w:rPr>
          <w:rFonts w:cstheme="minorHAnsi"/>
          <w:spacing w:val="4"/>
        </w:rPr>
        <w:t>Supporting Documentation</w:t>
      </w:r>
    </w:p>
    <w:p w14:paraId="6D1181F1" w14:textId="01263FA9" w:rsidR="003D61A2" w:rsidRPr="003D61A2" w:rsidRDefault="003D61A2" w:rsidP="003D61A2">
      <w:pPr>
        <w:pStyle w:val="ListParagraph"/>
        <w:numPr>
          <w:ilvl w:val="0"/>
          <w:numId w:val="14"/>
        </w:numPr>
        <w:autoSpaceDE w:val="0"/>
        <w:autoSpaceDN w:val="0"/>
        <w:adjustRightInd w:val="0"/>
        <w:spacing w:after="0" w:line="240" w:lineRule="auto"/>
        <w:rPr>
          <w:rFonts w:cstheme="minorHAnsi"/>
          <w:spacing w:val="4"/>
        </w:rPr>
      </w:pPr>
      <w:r w:rsidRPr="003D61A2">
        <w:rPr>
          <w:rFonts w:cstheme="minorHAnsi"/>
          <w:spacing w:val="4"/>
        </w:rPr>
        <w:t>Clinical Notes</w:t>
      </w:r>
    </w:p>
    <w:p w14:paraId="3F113CD8" w14:textId="77777777" w:rsidR="003D61A2" w:rsidRPr="003D61A2" w:rsidRDefault="003D61A2" w:rsidP="003D61A2">
      <w:pPr>
        <w:autoSpaceDE w:val="0"/>
        <w:autoSpaceDN w:val="0"/>
        <w:adjustRightInd w:val="0"/>
        <w:spacing w:after="0" w:line="240" w:lineRule="auto"/>
        <w:rPr>
          <w:rFonts w:cstheme="minorHAnsi"/>
          <w:b/>
          <w:bCs/>
          <w:spacing w:val="4"/>
        </w:rPr>
      </w:pPr>
    </w:p>
    <w:p w14:paraId="649731EF" w14:textId="7B404A57" w:rsidR="0066242D" w:rsidRDefault="0066242D" w:rsidP="00F76CC3">
      <w:pPr>
        <w:autoSpaceDE w:val="0"/>
        <w:autoSpaceDN w:val="0"/>
        <w:adjustRightInd w:val="0"/>
        <w:spacing w:after="0" w:line="240" w:lineRule="auto"/>
        <w:rPr>
          <w:rFonts w:cstheme="minorHAnsi"/>
          <w:b/>
          <w:bCs/>
          <w:spacing w:val="4"/>
        </w:rPr>
      </w:pPr>
      <w:r>
        <w:rPr>
          <w:rFonts w:cstheme="minorHAnsi"/>
          <w:b/>
          <w:bCs/>
          <w:spacing w:val="4"/>
        </w:rPr>
        <w:t>[</w:t>
      </w:r>
      <w:r w:rsidRPr="00313B60">
        <w:rPr>
          <w:rFonts w:cstheme="minorHAnsi"/>
          <w:b/>
          <w:bCs/>
          <w:spacing w:val="4"/>
          <w:u w:val="single"/>
        </w:rPr>
        <w:t>Recommended Enclosures</w:t>
      </w:r>
      <w:r w:rsidR="00E15B09" w:rsidRPr="00313B60">
        <w:rPr>
          <w:rFonts w:cstheme="minorHAnsi"/>
          <w:b/>
          <w:bCs/>
          <w:spacing w:val="4"/>
          <w:u w:val="single"/>
        </w:rPr>
        <w:t>:</w:t>
      </w:r>
      <w:r>
        <w:rPr>
          <w:rFonts w:cstheme="minorHAnsi"/>
          <w:b/>
          <w:bCs/>
          <w:spacing w:val="4"/>
        </w:rPr>
        <w:t>]</w:t>
      </w:r>
    </w:p>
    <w:p w14:paraId="428C1BF3" w14:textId="0431C517" w:rsidR="00E15B09" w:rsidRPr="003D61A2" w:rsidRDefault="00E15B09" w:rsidP="00E15B09">
      <w:pPr>
        <w:pStyle w:val="ListParagraph"/>
        <w:numPr>
          <w:ilvl w:val="0"/>
          <w:numId w:val="13"/>
        </w:numPr>
        <w:autoSpaceDE w:val="0"/>
        <w:autoSpaceDN w:val="0"/>
        <w:adjustRightInd w:val="0"/>
        <w:spacing w:after="0" w:line="240" w:lineRule="auto"/>
        <w:rPr>
          <w:rFonts w:cstheme="minorHAnsi"/>
          <w:spacing w:val="4"/>
        </w:rPr>
      </w:pPr>
      <w:r w:rsidRPr="003D61A2">
        <w:rPr>
          <w:rFonts w:cstheme="minorHAnsi"/>
          <w:spacing w:val="4"/>
        </w:rPr>
        <w:t>Full Prescribing Information</w:t>
      </w:r>
    </w:p>
    <w:p w14:paraId="41094773" w14:textId="4A451DE3" w:rsidR="000F142E" w:rsidRPr="003D61A2" w:rsidRDefault="000F142E" w:rsidP="00E15B09">
      <w:pPr>
        <w:pStyle w:val="ListParagraph"/>
        <w:numPr>
          <w:ilvl w:val="0"/>
          <w:numId w:val="13"/>
        </w:numPr>
        <w:autoSpaceDE w:val="0"/>
        <w:autoSpaceDN w:val="0"/>
        <w:adjustRightInd w:val="0"/>
        <w:spacing w:after="0" w:line="240" w:lineRule="auto"/>
        <w:rPr>
          <w:rFonts w:cstheme="minorHAnsi"/>
          <w:spacing w:val="4"/>
        </w:rPr>
      </w:pPr>
      <w:r w:rsidRPr="003D61A2">
        <w:rPr>
          <w:rFonts w:cstheme="minorHAnsi"/>
          <w:spacing w:val="4"/>
        </w:rPr>
        <w:t>Appeal Letter printed on office letterhead</w:t>
      </w:r>
    </w:p>
    <w:p w14:paraId="4BA33C50" w14:textId="67B61BE9" w:rsidR="008544D9" w:rsidRPr="003D61A2" w:rsidRDefault="008544D9" w:rsidP="00E15B09">
      <w:pPr>
        <w:pStyle w:val="ListParagraph"/>
        <w:numPr>
          <w:ilvl w:val="0"/>
          <w:numId w:val="13"/>
        </w:numPr>
        <w:autoSpaceDE w:val="0"/>
        <w:autoSpaceDN w:val="0"/>
        <w:adjustRightInd w:val="0"/>
        <w:spacing w:after="0" w:line="240" w:lineRule="auto"/>
        <w:rPr>
          <w:rFonts w:cstheme="minorHAnsi"/>
          <w:spacing w:val="4"/>
        </w:rPr>
      </w:pPr>
      <w:r w:rsidRPr="003D61A2">
        <w:rPr>
          <w:rFonts w:cstheme="minorHAnsi"/>
          <w:spacing w:val="4"/>
        </w:rPr>
        <w:t>Original Prior Authorization Form</w:t>
      </w:r>
    </w:p>
    <w:p w14:paraId="197896D5" w14:textId="52911194" w:rsidR="008544D9" w:rsidRPr="003D61A2" w:rsidRDefault="008544D9" w:rsidP="00E15B09">
      <w:pPr>
        <w:pStyle w:val="ListParagraph"/>
        <w:numPr>
          <w:ilvl w:val="0"/>
          <w:numId w:val="13"/>
        </w:numPr>
        <w:autoSpaceDE w:val="0"/>
        <w:autoSpaceDN w:val="0"/>
        <w:adjustRightInd w:val="0"/>
        <w:spacing w:after="0" w:line="240" w:lineRule="auto"/>
        <w:rPr>
          <w:rFonts w:cstheme="minorHAnsi"/>
          <w:spacing w:val="4"/>
        </w:rPr>
      </w:pPr>
      <w:r w:rsidRPr="003D61A2">
        <w:rPr>
          <w:rFonts w:cstheme="minorHAnsi"/>
          <w:spacing w:val="4"/>
        </w:rPr>
        <w:t>Denial/EOB</w:t>
      </w:r>
    </w:p>
    <w:p w14:paraId="0E0DDA57" w14:textId="7ADF53EC" w:rsidR="008544D9" w:rsidRPr="003D61A2" w:rsidRDefault="008544D9" w:rsidP="008544D9">
      <w:pPr>
        <w:pStyle w:val="ListParagraph"/>
        <w:numPr>
          <w:ilvl w:val="0"/>
          <w:numId w:val="13"/>
        </w:numPr>
        <w:autoSpaceDE w:val="0"/>
        <w:autoSpaceDN w:val="0"/>
        <w:adjustRightInd w:val="0"/>
        <w:spacing w:after="0" w:line="240" w:lineRule="auto"/>
        <w:rPr>
          <w:rFonts w:cstheme="minorHAnsi"/>
          <w:spacing w:val="4"/>
        </w:rPr>
      </w:pPr>
      <w:r w:rsidRPr="003D61A2">
        <w:rPr>
          <w:rFonts w:cstheme="minorHAnsi"/>
          <w:spacing w:val="4"/>
        </w:rPr>
        <w:t>Supporting scientific literature</w:t>
      </w:r>
    </w:p>
    <w:p w14:paraId="65176645" w14:textId="77777777" w:rsidR="0066242D" w:rsidRPr="00F76CC3" w:rsidRDefault="0066242D" w:rsidP="00F76CC3">
      <w:pPr>
        <w:autoSpaceDE w:val="0"/>
        <w:autoSpaceDN w:val="0"/>
        <w:adjustRightInd w:val="0"/>
        <w:spacing w:after="0" w:line="240" w:lineRule="auto"/>
        <w:rPr>
          <w:rFonts w:cstheme="minorHAnsi"/>
          <w:b/>
          <w:bCs/>
          <w:shd w:val="clear" w:color="auto" w:fill="FFFFFF"/>
        </w:rPr>
      </w:pPr>
    </w:p>
    <w:p w14:paraId="13D1DA23" w14:textId="77777777" w:rsidR="001E5748" w:rsidRDefault="001E5748" w:rsidP="000C2A64">
      <w:pPr>
        <w:widowControl w:val="0"/>
        <w:autoSpaceDE w:val="0"/>
        <w:autoSpaceDN w:val="0"/>
        <w:spacing w:after="0" w:line="240" w:lineRule="auto"/>
        <w:rPr>
          <w:rFonts w:eastAsia="Arial" w:cs="Calibri"/>
          <w:b/>
          <w:bCs/>
        </w:rPr>
      </w:pPr>
    </w:p>
    <w:p w14:paraId="39956535" w14:textId="77777777" w:rsidR="007861CE" w:rsidRPr="007861CE" w:rsidRDefault="007861CE" w:rsidP="007861CE">
      <w:pPr>
        <w:widowControl w:val="0"/>
        <w:autoSpaceDE w:val="0"/>
        <w:autoSpaceDN w:val="0"/>
        <w:spacing w:after="0" w:line="240" w:lineRule="auto"/>
        <w:rPr>
          <w:rFonts w:eastAsia="Arial" w:cs="Calibri"/>
          <w:b/>
          <w:bCs/>
        </w:rPr>
      </w:pPr>
      <w:r w:rsidRPr="007861CE">
        <w:rPr>
          <w:rFonts w:eastAsia="Arial" w:cs="Calibri"/>
          <w:b/>
          <w:bCs/>
        </w:rPr>
        <w:t>Indication</w:t>
      </w:r>
    </w:p>
    <w:p w14:paraId="335869A9" w14:textId="77777777" w:rsidR="007861CE" w:rsidRPr="007861CE" w:rsidRDefault="007861CE" w:rsidP="007861CE">
      <w:pPr>
        <w:widowControl w:val="0"/>
        <w:autoSpaceDE w:val="0"/>
        <w:autoSpaceDN w:val="0"/>
        <w:rPr>
          <w:rFonts w:cstheme="minorHAnsi"/>
        </w:rPr>
      </w:pPr>
      <w:r w:rsidRPr="007861CE">
        <w:rPr>
          <w:rFonts w:cstheme="minorHAnsi"/>
        </w:rPr>
        <w:t xml:space="preserve">GVOKE (glucagon) is an </w:t>
      </w:r>
      <w:proofErr w:type="spellStart"/>
      <w:r w:rsidRPr="007861CE">
        <w:rPr>
          <w:rFonts w:cstheme="minorHAnsi"/>
        </w:rPr>
        <w:t>antihypoglycemic</w:t>
      </w:r>
      <w:proofErr w:type="spellEnd"/>
      <w:r w:rsidRPr="007861CE">
        <w:rPr>
          <w:rFonts w:cstheme="minorHAnsi"/>
        </w:rPr>
        <w:t xml:space="preserve"> agent indicated for subcutaneous use for the treatment of severe hypoglycemia in adult and pediatric patients aged 2 years and older with diabetes.</w:t>
      </w:r>
    </w:p>
    <w:p w14:paraId="61DA5634" w14:textId="77777777" w:rsidR="007861CE" w:rsidRPr="007861CE" w:rsidRDefault="007861CE" w:rsidP="007861CE">
      <w:pPr>
        <w:widowControl w:val="0"/>
        <w:autoSpaceDE w:val="0"/>
        <w:autoSpaceDN w:val="0"/>
        <w:spacing w:after="0" w:line="240" w:lineRule="auto"/>
        <w:rPr>
          <w:rFonts w:eastAsia="Arial" w:cs="Calibri"/>
          <w:b/>
          <w:bCs/>
        </w:rPr>
      </w:pPr>
      <w:r w:rsidRPr="007861CE">
        <w:rPr>
          <w:rFonts w:eastAsia="Arial" w:cs="Calibri"/>
          <w:b/>
          <w:bCs/>
        </w:rPr>
        <w:t>Important Safety Information</w:t>
      </w:r>
    </w:p>
    <w:p w14:paraId="1029F29E" w14:textId="77777777" w:rsidR="007861CE" w:rsidRPr="007861CE" w:rsidRDefault="007861CE" w:rsidP="007861CE">
      <w:pPr>
        <w:pStyle w:val="NoSpacing"/>
        <w:numPr>
          <w:ilvl w:val="0"/>
          <w:numId w:val="16"/>
        </w:numPr>
      </w:pPr>
      <w:r w:rsidRPr="007861CE">
        <w:t>GVOKE is contraindicated in patients with:</w:t>
      </w:r>
    </w:p>
    <w:p w14:paraId="344D5630" w14:textId="77777777" w:rsidR="007861CE" w:rsidRPr="007861CE" w:rsidRDefault="007861CE" w:rsidP="007861CE">
      <w:pPr>
        <w:pStyle w:val="NoSpacing"/>
        <w:numPr>
          <w:ilvl w:val="0"/>
          <w:numId w:val="15"/>
        </w:numPr>
        <w:ind w:left="720"/>
      </w:pPr>
      <w:r w:rsidRPr="007861CE">
        <w:t>Pheochromocytoma because of the risk of substantial increase in blood pressure</w:t>
      </w:r>
    </w:p>
    <w:p w14:paraId="15F05186" w14:textId="77777777" w:rsidR="007861CE" w:rsidRPr="007861CE" w:rsidRDefault="007861CE" w:rsidP="007861CE">
      <w:pPr>
        <w:pStyle w:val="NoSpacing"/>
        <w:numPr>
          <w:ilvl w:val="0"/>
          <w:numId w:val="15"/>
        </w:numPr>
        <w:ind w:left="720"/>
      </w:pPr>
      <w:r w:rsidRPr="007861CE">
        <w:t xml:space="preserve">Insulinoma because of the risk of hypoglycemia </w:t>
      </w:r>
    </w:p>
    <w:p w14:paraId="3F742C3D" w14:textId="77777777" w:rsidR="007861CE" w:rsidRPr="007861CE" w:rsidRDefault="007861CE" w:rsidP="007861CE">
      <w:pPr>
        <w:pStyle w:val="NoSpacing"/>
        <w:numPr>
          <w:ilvl w:val="0"/>
          <w:numId w:val="15"/>
        </w:numPr>
        <w:ind w:left="720"/>
        <w:rPr>
          <w:rFonts w:eastAsia="SimSun" w:cstheme="minorHAnsi"/>
          <w:kern w:val="0"/>
          <w14:ligatures w14:val="none"/>
        </w:rPr>
      </w:pPr>
      <w:r w:rsidRPr="007861CE">
        <w:rPr>
          <w:rFonts w:eastAsia="SimSun" w:cstheme="minorHAnsi"/>
          <w:kern w:val="0"/>
          <w14:ligatures w14:val="none"/>
        </w:rPr>
        <w:t>Prior hypersensitivity reaction to glucagon or to any of the excipients. Serious hypersensitivity reactions have been reported with glucagon, including generalized rash, and anaphylactic shock with breathing difficulties and hypotension</w:t>
      </w:r>
    </w:p>
    <w:p w14:paraId="66D20097" w14:textId="77777777" w:rsidR="007861CE" w:rsidRPr="007861CE" w:rsidRDefault="007861CE" w:rsidP="007861CE">
      <w:pPr>
        <w:pStyle w:val="ListParagraph"/>
        <w:widowControl w:val="0"/>
        <w:numPr>
          <w:ilvl w:val="0"/>
          <w:numId w:val="16"/>
        </w:numPr>
        <w:autoSpaceDE w:val="0"/>
        <w:autoSpaceDN w:val="0"/>
        <w:spacing w:after="0" w:line="240" w:lineRule="auto"/>
        <w:rPr>
          <w:rFonts w:eastAsia="Arial" w:cs="Calibri"/>
        </w:rPr>
      </w:pPr>
      <w:r w:rsidRPr="007861CE">
        <w:rPr>
          <w:rFonts w:eastAsia="Arial" w:cs="Calibri"/>
        </w:rPr>
        <w:t>GVOKE may stimulate the release of catecholamines from the tumor. If patient develops a substantial increase in blood pressure and a previously undiagnosed pheochromocytoma is suspected, 5 to 10 mg of phentolamine mesylate intravenously has been shown to be effective in lowering blood pressure</w:t>
      </w:r>
    </w:p>
    <w:p w14:paraId="216D984B" w14:textId="77777777" w:rsidR="007861CE" w:rsidRPr="007861CE" w:rsidRDefault="007861CE" w:rsidP="007861CE">
      <w:pPr>
        <w:pStyle w:val="ListParagraph"/>
        <w:widowControl w:val="0"/>
        <w:numPr>
          <w:ilvl w:val="0"/>
          <w:numId w:val="16"/>
        </w:numPr>
        <w:autoSpaceDE w:val="0"/>
        <w:autoSpaceDN w:val="0"/>
        <w:spacing w:after="0" w:line="240" w:lineRule="auto"/>
        <w:rPr>
          <w:rFonts w:eastAsia="Arial" w:cs="Calibri"/>
        </w:rPr>
      </w:pPr>
      <w:r w:rsidRPr="007861CE">
        <w:rPr>
          <w:rFonts w:eastAsia="Arial" w:cs="Calibri"/>
        </w:rPr>
        <w:t>In patients with insulinoma, administration of glucagon may produce an initial increase in blood glucose; however, administration may stimulate exaggerated insulin release from an insulinoma and cause hypoglycemia. If a patient develops symptoms of hypoglycemia after a dose of GVOKE, give glucose orally or intravenously</w:t>
      </w:r>
    </w:p>
    <w:p w14:paraId="04783D42" w14:textId="77777777" w:rsidR="007861CE" w:rsidRPr="007861CE" w:rsidRDefault="007861CE" w:rsidP="007861CE">
      <w:pPr>
        <w:pStyle w:val="ListParagraph"/>
        <w:numPr>
          <w:ilvl w:val="0"/>
          <w:numId w:val="16"/>
        </w:numPr>
        <w:rPr>
          <w:rFonts w:eastAsia="Arial" w:cs="Calibri"/>
        </w:rPr>
      </w:pPr>
      <w:r w:rsidRPr="007861CE">
        <w:rPr>
          <w:rFonts w:eastAsia="Arial" w:cs="Calibri"/>
        </w:rPr>
        <w:t xml:space="preserve">Patients with insufficient hepatic stores of glycogen may not respond to GVOKE for treatment of severe hypoglycemia. Insufficient hepatic stores of glycogen may be present in conditions such as states of starvation, or in patients with adrenal insufficiency or chronic hypoglycemia </w:t>
      </w:r>
    </w:p>
    <w:p w14:paraId="13D2AF72" w14:textId="77777777" w:rsidR="007861CE" w:rsidRPr="007861CE" w:rsidRDefault="007861CE" w:rsidP="007861CE">
      <w:pPr>
        <w:pStyle w:val="ListParagraph"/>
        <w:widowControl w:val="0"/>
        <w:numPr>
          <w:ilvl w:val="0"/>
          <w:numId w:val="16"/>
        </w:numPr>
        <w:autoSpaceDE w:val="0"/>
        <w:autoSpaceDN w:val="0"/>
        <w:spacing w:after="0" w:line="240" w:lineRule="auto"/>
        <w:rPr>
          <w:rFonts w:eastAsia="Arial" w:cs="Calibri"/>
        </w:rPr>
      </w:pPr>
      <w:r w:rsidRPr="007861CE">
        <w:rPr>
          <w:rFonts w:eastAsia="Arial" w:cs="Calibri"/>
        </w:rPr>
        <w:t xml:space="preserve">A skin rash called necrolytic migratory erythema (NME), has been reported post-marketing following continuous glucagon infusion and resolved with discontinuation of the glucagon. GVOKE is not approved for continuous infusion.  Should NME occur, consider whether the benefits of continuous glucagon infusion </w:t>
      </w:r>
      <w:r w:rsidRPr="007861CE">
        <w:rPr>
          <w:rFonts w:eastAsia="Arial" w:cs="Calibri"/>
        </w:rPr>
        <w:lastRenderedPageBreak/>
        <w:t>outweigh the risks</w:t>
      </w:r>
    </w:p>
    <w:p w14:paraId="14A1712C" w14:textId="77777777" w:rsidR="007861CE" w:rsidRPr="007861CE" w:rsidRDefault="007861CE" w:rsidP="007861CE">
      <w:pPr>
        <w:pStyle w:val="NoSpacing"/>
        <w:numPr>
          <w:ilvl w:val="0"/>
          <w:numId w:val="16"/>
        </w:numPr>
      </w:pPr>
      <w:r w:rsidRPr="007861CE">
        <w:t>Most common adverse reactions reported in adult patients were nausea, vomiting, injection site edema raised 1 mm or greater, and headache</w:t>
      </w:r>
    </w:p>
    <w:p w14:paraId="107F66C6" w14:textId="77777777" w:rsidR="007861CE" w:rsidRPr="007861CE" w:rsidRDefault="007861CE" w:rsidP="007861CE">
      <w:pPr>
        <w:pStyle w:val="NoSpacing"/>
        <w:numPr>
          <w:ilvl w:val="0"/>
          <w:numId w:val="16"/>
        </w:numPr>
      </w:pPr>
      <w:r w:rsidRPr="007861CE">
        <w:t>Most common adverse reactions reported in pediatric patients were nausea, hypoglycemia, vomiting, headache, abdominal pain, hyperglycemia, injection site discomfort and reaction, and urticaria</w:t>
      </w:r>
    </w:p>
    <w:p w14:paraId="02967FD8" w14:textId="77777777" w:rsidR="007861CE" w:rsidRPr="007861CE" w:rsidRDefault="007861CE" w:rsidP="007861CE">
      <w:pPr>
        <w:pStyle w:val="NoSpacing"/>
        <w:numPr>
          <w:ilvl w:val="0"/>
          <w:numId w:val="16"/>
        </w:numPr>
      </w:pPr>
      <w:r w:rsidRPr="007861CE">
        <w:t>Patients taking concomitant beta-blockers may have a transient increase in pulse and blood pressure. In patients taking concomitant indomethacin, GVOKE may lose its ability to raise glucose or may produce hypoglycemia. GVOKE may increase the anticoagulant effect of warfarin</w:t>
      </w:r>
    </w:p>
    <w:p w14:paraId="6CF0940F" w14:textId="77777777" w:rsidR="000C2A64" w:rsidRPr="000C2A64" w:rsidRDefault="000C2A64" w:rsidP="000C2A64">
      <w:pPr>
        <w:pStyle w:val="NoSpacing"/>
        <w:ind w:left="1440"/>
      </w:pPr>
    </w:p>
    <w:p w14:paraId="0425B3A6" w14:textId="7F7026D9" w:rsidR="22CB9468" w:rsidRDefault="22CB9468" w:rsidP="64FAB297">
      <w:pPr>
        <w:pStyle w:val="NoSpacing"/>
        <w:rPr>
          <w:rFonts w:ascii="Calibri" w:eastAsia="Calibri" w:hAnsi="Calibri" w:cs="Calibri"/>
        </w:rPr>
      </w:pPr>
      <w:r w:rsidRPr="64FAB297">
        <w:rPr>
          <w:rFonts w:ascii="Calibri" w:eastAsia="Calibri" w:hAnsi="Calibri" w:cs="Calibri"/>
          <w:b/>
          <w:bCs/>
          <w:color w:val="000000" w:themeColor="text1"/>
        </w:rPr>
        <w:t xml:space="preserve">Please see </w:t>
      </w:r>
      <w:hyperlink r:id="rId7">
        <w:r w:rsidRPr="64FAB297">
          <w:rPr>
            <w:rStyle w:val="Hyperlink"/>
            <w:rFonts w:ascii="Calibri" w:eastAsia="Calibri" w:hAnsi="Calibri" w:cs="Calibri"/>
            <w:b/>
            <w:bCs/>
          </w:rPr>
          <w:t>full Prescribing Information</w:t>
        </w:r>
      </w:hyperlink>
      <w:r w:rsidRPr="64FAB297">
        <w:rPr>
          <w:rFonts w:ascii="Calibri" w:eastAsia="Calibri" w:hAnsi="Calibri" w:cs="Calibri"/>
          <w:b/>
          <w:bCs/>
          <w:color w:val="000000" w:themeColor="text1"/>
        </w:rPr>
        <w:t xml:space="preserve"> for GVOKE®.</w:t>
      </w:r>
    </w:p>
    <w:p w14:paraId="563212D4" w14:textId="2397F25C" w:rsidR="00405530" w:rsidRDefault="00405530" w:rsidP="005F53F6">
      <w:pPr>
        <w:tabs>
          <w:tab w:val="left" w:pos="180"/>
          <w:tab w:val="left" w:pos="389"/>
        </w:tabs>
        <w:suppressAutoHyphens/>
        <w:autoSpaceDE w:val="0"/>
        <w:autoSpaceDN w:val="0"/>
        <w:adjustRightInd w:val="0"/>
        <w:spacing w:after="80" w:line="260" w:lineRule="atLeast"/>
        <w:textAlignment w:val="center"/>
        <w:rPr>
          <w:rFonts w:cstheme="minorHAnsi"/>
          <w:color w:val="000000" w:themeColor="text1"/>
          <w:spacing w:val="4"/>
          <w:sz w:val="20"/>
          <w:szCs w:val="20"/>
        </w:rPr>
      </w:pPr>
    </w:p>
    <w:p w14:paraId="0549583B" w14:textId="23DF5555" w:rsidR="004D5B24" w:rsidRPr="007D58FD" w:rsidRDefault="004D5B24" w:rsidP="004D5B24">
      <w:pPr>
        <w:spacing w:line="240" w:lineRule="auto"/>
        <w:rPr>
          <w:rFonts w:eastAsia="Times New Roman" w:cstheme="minorHAnsi"/>
          <w:color w:val="000000" w:themeColor="text1"/>
        </w:rPr>
      </w:pPr>
      <w:r w:rsidRPr="00F76CC3">
        <w:rPr>
          <w:rFonts w:eastAsia="Times New Roman" w:cstheme="minorHAnsi"/>
          <w:color w:val="000000" w:themeColor="text1"/>
        </w:rPr>
        <w:t xml:space="preserve">Gvoke® and Gvoke HypoPen® are trademarks of Xeris Pharmaceuticals, Inc. </w:t>
      </w:r>
      <w:r w:rsidRPr="00F76CC3">
        <w:rPr>
          <w:rFonts w:eastAsia="Times New Roman" w:cstheme="minorHAnsi"/>
          <w:color w:val="000000" w:themeColor="text1"/>
        </w:rPr>
        <w:br/>
        <w:t>Copyright ©</w:t>
      </w:r>
      <w:r w:rsidR="00EF2697">
        <w:rPr>
          <w:rFonts w:eastAsia="Times New Roman" w:cstheme="minorHAnsi"/>
          <w:color w:val="000000" w:themeColor="text1"/>
        </w:rPr>
        <w:t>2024-</w:t>
      </w:r>
      <w:r w:rsidRPr="00F76CC3">
        <w:rPr>
          <w:rFonts w:eastAsia="Times New Roman" w:cstheme="minorHAnsi"/>
          <w:color w:val="000000" w:themeColor="text1"/>
        </w:rPr>
        <w:t>2025 Xeris Pharmaceuticals, Inc. All Rights Reserved. U</w:t>
      </w:r>
      <w:r w:rsidRPr="00F76CC3">
        <w:rPr>
          <w:rFonts w:eastAsia="Times New Roman" w:cstheme="minorHAnsi"/>
          <w:color w:val="000000" w:themeColor="text1"/>
          <w:shd w:val="clear" w:color="auto" w:fill="FFFFFF"/>
        </w:rPr>
        <w:t>S-GVK-19-00122</w:t>
      </w:r>
      <w:r w:rsidR="007B63F5">
        <w:rPr>
          <w:rFonts w:eastAsia="Times New Roman" w:cstheme="minorHAnsi"/>
          <w:color w:val="000000" w:themeColor="text1"/>
          <w:shd w:val="clear" w:color="auto" w:fill="FFFFFF"/>
        </w:rPr>
        <w:t>(</w:t>
      </w:r>
      <w:r w:rsidRPr="00F76CC3">
        <w:rPr>
          <w:rFonts w:eastAsia="Times New Roman" w:cstheme="minorHAnsi"/>
          <w:color w:val="000000" w:themeColor="text1"/>
          <w:shd w:val="clear" w:color="auto" w:fill="FFFFFF"/>
        </w:rPr>
        <w:t>v</w:t>
      </w:r>
      <w:r w:rsidR="007B63F5">
        <w:rPr>
          <w:rFonts w:eastAsia="Times New Roman" w:cstheme="minorHAnsi"/>
          <w:color w:val="000000" w:themeColor="text1"/>
          <w:shd w:val="clear" w:color="auto" w:fill="FFFFFF"/>
        </w:rPr>
        <w:t>4)</w:t>
      </w:r>
      <w:r w:rsidRPr="00F76CC3">
        <w:rPr>
          <w:rFonts w:eastAsia="Times New Roman" w:cstheme="minorHAnsi"/>
          <w:color w:val="000000" w:themeColor="text1"/>
          <w:shd w:val="clear" w:color="auto" w:fill="FFFFFF"/>
        </w:rPr>
        <w:t xml:space="preserve"> </w:t>
      </w:r>
      <w:r w:rsidR="007B63F5">
        <w:rPr>
          <w:rFonts w:eastAsia="Times New Roman" w:cstheme="minorHAnsi"/>
          <w:color w:val="000000" w:themeColor="text1"/>
          <w:shd w:val="clear" w:color="auto" w:fill="FFFFFF"/>
        </w:rPr>
        <w:t>8</w:t>
      </w:r>
      <w:r w:rsidRPr="00F76CC3">
        <w:rPr>
          <w:rFonts w:eastAsia="Times New Roman" w:cstheme="minorHAnsi"/>
          <w:color w:val="000000" w:themeColor="text1"/>
          <w:shd w:val="clear" w:color="auto" w:fill="FFFFFF"/>
        </w:rPr>
        <w:t>/25</w:t>
      </w:r>
    </w:p>
    <w:p w14:paraId="61A8015E" w14:textId="77777777" w:rsidR="004D5B24" w:rsidRPr="00F76CC3" w:rsidRDefault="004D5B24" w:rsidP="005F53F6">
      <w:pPr>
        <w:tabs>
          <w:tab w:val="left" w:pos="180"/>
          <w:tab w:val="left" w:pos="389"/>
        </w:tabs>
        <w:suppressAutoHyphens/>
        <w:autoSpaceDE w:val="0"/>
        <w:autoSpaceDN w:val="0"/>
        <w:adjustRightInd w:val="0"/>
        <w:spacing w:after="80" w:line="260" w:lineRule="atLeast"/>
        <w:textAlignment w:val="center"/>
        <w:rPr>
          <w:rFonts w:cstheme="minorHAnsi"/>
          <w:color w:val="000000" w:themeColor="text1"/>
          <w:spacing w:val="4"/>
          <w:sz w:val="20"/>
          <w:szCs w:val="20"/>
        </w:rPr>
      </w:pPr>
    </w:p>
    <w:sectPr w:rsidR="004D5B24" w:rsidRPr="00F76CC3" w:rsidSect="00825590">
      <w:headerReference w:type="first" r:id="rId8"/>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75C1" w14:textId="77777777" w:rsidR="00685C95" w:rsidRDefault="00685C95" w:rsidP="001C19A5">
      <w:pPr>
        <w:spacing w:after="0" w:line="240" w:lineRule="auto"/>
      </w:pPr>
      <w:r>
        <w:separator/>
      </w:r>
    </w:p>
  </w:endnote>
  <w:endnote w:type="continuationSeparator" w:id="0">
    <w:p w14:paraId="1E1384AD" w14:textId="77777777" w:rsidR="00685C95" w:rsidRDefault="00685C95" w:rsidP="001C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2FCA" w14:textId="77777777" w:rsidR="00685C95" w:rsidRDefault="00685C95" w:rsidP="001C19A5">
      <w:pPr>
        <w:spacing w:after="0" w:line="240" w:lineRule="auto"/>
      </w:pPr>
      <w:r>
        <w:separator/>
      </w:r>
    </w:p>
  </w:footnote>
  <w:footnote w:type="continuationSeparator" w:id="0">
    <w:p w14:paraId="17C8E081" w14:textId="77777777" w:rsidR="00685C95" w:rsidRDefault="00685C95" w:rsidP="001C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969F" w14:textId="76116467" w:rsidR="00CA7330" w:rsidRDefault="00825590">
    <w:pPr>
      <w:pStyle w:val="Header"/>
    </w:pPr>
    <w:r>
      <w:rPr>
        <w:rFonts w:ascii="Times New Roman"/>
        <w:noProof/>
        <w:sz w:val="20"/>
      </w:rPr>
      <mc:AlternateContent>
        <mc:Choice Requires="wps">
          <w:drawing>
            <wp:inline distT="0" distB="0" distL="0" distR="0" wp14:anchorId="1445B84F" wp14:editId="21FECCEF">
              <wp:extent cx="6410325" cy="1304925"/>
              <wp:effectExtent l="0" t="0" r="28575" b="2857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1304925"/>
                      </a:xfrm>
                      <a:prstGeom prst="rect">
                        <a:avLst/>
                      </a:prstGeom>
                      <a:ln w="12700">
                        <a:solidFill>
                          <a:srgbClr val="211F1F"/>
                        </a:solidFill>
                        <a:prstDash val="solid"/>
                      </a:ln>
                    </wps:spPr>
                    <wps:txbx>
                      <w:txbxContent>
                        <w:p w14:paraId="0E874291" w14:textId="620EA778" w:rsidR="00825590" w:rsidRDefault="007D6793" w:rsidP="00E104FD">
                          <w:pPr>
                            <w:spacing w:before="112" w:line="242" w:lineRule="auto"/>
                            <w:ind w:left="123" w:right="246"/>
                            <w:rPr>
                              <w:sz w:val="20"/>
                            </w:rPr>
                          </w:pPr>
                          <w:r w:rsidRPr="007D6793">
                            <w:rPr>
                              <w:sz w:val="20"/>
                            </w:rPr>
                            <w:t xml:space="preserve">Payers may require prior authorization or supporting documentation to process and cover a claim for the requested therapy. A prior authorization allows the payer to review the reason for the requested therapy and to determine medical appropriateness. A patient-specific Letter of Medical Necessity will help to explain the physician’s rationale and clinical decision-making in choosing a therapy. The following is a sample Letter of Medical Necessity that can be customized based on your patient’s medical history and physical examination. Please note that some payers may have specific forms that must be completed </w:t>
                          </w:r>
                          <w:proofErr w:type="gramStart"/>
                          <w:r w:rsidRPr="007D6793">
                            <w:rPr>
                              <w:sz w:val="20"/>
                            </w:rPr>
                            <w:t>in order to</w:t>
                          </w:r>
                          <w:proofErr w:type="gramEnd"/>
                          <w:r w:rsidRPr="007D6793">
                            <w:rPr>
                              <w:sz w:val="20"/>
                            </w:rPr>
                            <w:t xml:space="preserve"> request prior authorization or to document medical necessity.</w:t>
                          </w:r>
                        </w:p>
                        <w:p w14:paraId="6E8EC3BA" w14:textId="68CF0FB6" w:rsidR="00E11471" w:rsidRPr="00E104FD" w:rsidRDefault="00E11471" w:rsidP="00E104FD">
                          <w:pPr>
                            <w:spacing w:before="112" w:line="242" w:lineRule="auto"/>
                            <w:ind w:left="123" w:right="246"/>
                            <w:jc w:val="center"/>
                            <w:rPr>
                              <w:b/>
                              <w:bCs/>
                              <w:sz w:val="20"/>
                            </w:rPr>
                          </w:pPr>
                          <w:r w:rsidRPr="00E104FD">
                            <w:rPr>
                              <w:b/>
                              <w:bCs/>
                              <w:sz w:val="20"/>
                            </w:rPr>
                            <w:t xml:space="preserve">Please see the </w:t>
                          </w:r>
                          <w:hyperlink r:id="rId1" w:history="1">
                            <w:r w:rsidRPr="006C7343">
                              <w:rPr>
                                <w:rStyle w:val="Hyperlink"/>
                                <w:b/>
                                <w:bCs/>
                                <w:sz w:val="20"/>
                              </w:rPr>
                              <w:t>Full Prescribing Information</w:t>
                            </w:r>
                          </w:hyperlink>
                          <w:r w:rsidRPr="00E104FD">
                            <w:rPr>
                              <w:b/>
                              <w:bCs/>
                              <w:sz w:val="20"/>
                            </w:rPr>
                            <w:t xml:space="preserve"> for </w:t>
                          </w:r>
                          <w:r w:rsidR="00E104FD" w:rsidRPr="00E104FD">
                            <w:rPr>
                              <w:b/>
                              <w:bCs/>
                              <w:sz w:val="20"/>
                            </w:rPr>
                            <w:t>GVOKE® (glucagon injection)</w:t>
                          </w:r>
                          <w:r w:rsidR="00E104FD">
                            <w:rPr>
                              <w:b/>
                              <w:bCs/>
                              <w:sz w:val="20"/>
                            </w:rPr>
                            <w:t>.</w:t>
                          </w:r>
                        </w:p>
                        <w:p w14:paraId="38C4775A" w14:textId="77777777" w:rsidR="00E11471" w:rsidRDefault="00E11471" w:rsidP="00825590">
                          <w:pPr>
                            <w:spacing w:before="112" w:line="242" w:lineRule="auto"/>
                            <w:ind w:left="123" w:right="246"/>
                            <w:rPr>
                              <w:sz w:val="20"/>
                            </w:rPr>
                          </w:pPr>
                        </w:p>
                        <w:p w14:paraId="0AE23744" w14:textId="77777777" w:rsidR="00E11471" w:rsidRDefault="00E11471" w:rsidP="00825590">
                          <w:pPr>
                            <w:spacing w:before="112" w:line="242" w:lineRule="auto"/>
                            <w:ind w:left="123" w:right="246"/>
                            <w:rPr>
                              <w:sz w:val="20"/>
                            </w:rPr>
                          </w:pPr>
                        </w:p>
                      </w:txbxContent>
                    </wps:txbx>
                    <wps:bodyPr wrap="square" lIns="0" tIns="0" rIns="0" bIns="0" rtlCol="0">
                      <a:noAutofit/>
                    </wps:bodyPr>
                  </wps:wsp>
                </a:graphicData>
              </a:graphic>
            </wp:inline>
          </w:drawing>
        </mc:Choice>
        <mc:Fallback>
          <w:pict>
            <v:shapetype w14:anchorId="1445B84F" id="_x0000_t202" coordsize="21600,21600" o:spt="202" path="m,l,21600r21600,l21600,xe">
              <v:stroke joinstyle="miter"/>
              <v:path gradientshapeok="t" o:connecttype="rect"/>
            </v:shapetype>
            <v:shape id="Textbox 1" o:spid="_x0000_s1026" type="#_x0000_t202" style="width:504.7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" filled="f" strokecolor="#211f1f" strokeweight="1pt">
              <v:path arrowok="t"/>
              <v:textbox inset="0,0,0,0">
                <w:txbxContent>
                  <w:p w14:paraId="0E874291" w14:textId="620EA778" w:rsidR="00825590" w:rsidRDefault="007D6793" w:rsidP="00E104FD">
                    <w:pPr>
                      <w:spacing w:before="112" w:line="242" w:lineRule="auto"/>
                      <w:ind w:left="123" w:right="246"/>
                      <w:rPr>
                        <w:sz w:val="20"/>
                      </w:rPr>
                    </w:pPr>
                    <w:r w:rsidRPr="007D6793">
                      <w:rPr>
                        <w:sz w:val="20"/>
                      </w:rPr>
                      <w:t xml:space="preserve">Payers may require prior authorization or supporting documentation to process and cover a claim for the requested therapy. A prior authorization allows the payer to review the reason for the requested therapy and to determine medical appropriateness. A patient-specific Letter of Medical Necessity will help to explain the physician’s rationale and clinical decision-making in choosing a therapy. The following is a sample Letter of Medical Necessity that can be customized based on your patient’s medical history and physical examination. Please note that some payers may have specific forms that must be completed </w:t>
                    </w:r>
                    <w:proofErr w:type="gramStart"/>
                    <w:r w:rsidRPr="007D6793">
                      <w:rPr>
                        <w:sz w:val="20"/>
                      </w:rPr>
                      <w:t>in order to</w:t>
                    </w:r>
                    <w:proofErr w:type="gramEnd"/>
                    <w:r w:rsidRPr="007D6793">
                      <w:rPr>
                        <w:sz w:val="20"/>
                      </w:rPr>
                      <w:t xml:space="preserve"> request prior authorization or to document medical necessity.</w:t>
                    </w:r>
                  </w:p>
                  <w:p w14:paraId="6E8EC3BA" w14:textId="68CF0FB6" w:rsidR="00E11471" w:rsidRPr="00E104FD" w:rsidRDefault="00E11471" w:rsidP="00E104FD">
                    <w:pPr>
                      <w:spacing w:before="112" w:line="242" w:lineRule="auto"/>
                      <w:ind w:left="123" w:right="246"/>
                      <w:jc w:val="center"/>
                      <w:rPr>
                        <w:b/>
                        <w:bCs/>
                        <w:sz w:val="20"/>
                      </w:rPr>
                    </w:pPr>
                    <w:r w:rsidRPr="00E104FD">
                      <w:rPr>
                        <w:b/>
                        <w:bCs/>
                        <w:sz w:val="20"/>
                      </w:rPr>
                      <w:t xml:space="preserve">Please see the </w:t>
                    </w:r>
                    <w:hyperlink r:id="rId2" w:history="1">
                      <w:r w:rsidRPr="006C7343">
                        <w:rPr>
                          <w:rStyle w:val="Hyperlink"/>
                          <w:b/>
                          <w:bCs/>
                          <w:sz w:val="20"/>
                        </w:rPr>
                        <w:t>Full Prescribing Information</w:t>
                      </w:r>
                    </w:hyperlink>
                    <w:r w:rsidRPr="00E104FD">
                      <w:rPr>
                        <w:b/>
                        <w:bCs/>
                        <w:sz w:val="20"/>
                      </w:rPr>
                      <w:t xml:space="preserve"> for </w:t>
                    </w:r>
                    <w:r w:rsidR="00E104FD" w:rsidRPr="00E104FD">
                      <w:rPr>
                        <w:b/>
                        <w:bCs/>
                        <w:sz w:val="20"/>
                      </w:rPr>
                      <w:t>GVOKE® (glucagon injection)</w:t>
                    </w:r>
                    <w:r w:rsidR="00E104FD">
                      <w:rPr>
                        <w:b/>
                        <w:bCs/>
                        <w:sz w:val="20"/>
                      </w:rPr>
                      <w:t>.</w:t>
                    </w:r>
                  </w:p>
                  <w:p w14:paraId="38C4775A" w14:textId="77777777" w:rsidR="00E11471" w:rsidRDefault="00E11471" w:rsidP="00825590">
                    <w:pPr>
                      <w:spacing w:before="112" w:line="242" w:lineRule="auto"/>
                      <w:ind w:left="123" w:right="246"/>
                      <w:rPr>
                        <w:sz w:val="20"/>
                      </w:rPr>
                    </w:pPr>
                  </w:p>
                  <w:p w14:paraId="0AE23744" w14:textId="77777777" w:rsidR="00E11471" w:rsidRDefault="00E11471" w:rsidP="00825590">
                    <w:pPr>
                      <w:spacing w:before="112" w:line="242" w:lineRule="auto"/>
                      <w:ind w:left="123" w:right="246"/>
                      <w:rPr>
                        <w:sz w:val="20"/>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A9"/>
    <w:multiLevelType w:val="hybridMultilevel"/>
    <w:tmpl w:val="E4CC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D776A"/>
    <w:multiLevelType w:val="hybridMultilevel"/>
    <w:tmpl w:val="DEC27B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2193B"/>
    <w:multiLevelType w:val="hybridMultilevel"/>
    <w:tmpl w:val="0764F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144AF"/>
    <w:multiLevelType w:val="hybridMultilevel"/>
    <w:tmpl w:val="3BEC1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69A4"/>
    <w:multiLevelType w:val="hybridMultilevel"/>
    <w:tmpl w:val="EC2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30CD1"/>
    <w:multiLevelType w:val="hybridMultilevel"/>
    <w:tmpl w:val="CD18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2029E"/>
    <w:multiLevelType w:val="hybridMultilevel"/>
    <w:tmpl w:val="5062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B69D0"/>
    <w:multiLevelType w:val="hybridMultilevel"/>
    <w:tmpl w:val="5914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F2005"/>
    <w:multiLevelType w:val="hybridMultilevel"/>
    <w:tmpl w:val="CB5E6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B24BE6"/>
    <w:multiLevelType w:val="hybridMultilevel"/>
    <w:tmpl w:val="4E4AD9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991B5C"/>
    <w:multiLevelType w:val="hybridMultilevel"/>
    <w:tmpl w:val="7A74438A"/>
    <w:lvl w:ilvl="0" w:tplc="7FB015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82AC8"/>
    <w:multiLevelType w:val="hybridMultilevel"/>
    <w:tmpl w:val="C5E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71EF"/>
    <w:multiLevelType w:val="hybridMultilevel"/>
    <w:tmpl w:val="4566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F5B2C"/>
    <w:multiLevelType w:val="hybridMultilevel"/>
    <w:tmpl w:val="A9A0E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533AF"/>
    <w:multiLevelType w:val="hybridMultilevel"/>
    <w:tmpl w:val="17B4B508"/>
    <w:lvl w:ilvl="0" w:tplc="7FB015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80407"/>
    <w:multiLevelType w:val="hybridMultilevel"/>
    <w:tmpl w:val="5B02F5E2"/>
    <w:lvl w:ilvl="0" w:tplc="90D6F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2854956">
    <w:abstractNumId w:val="6"/>
  </w:num>
  <w:num w:numId="2" w16cid:durableId="452361806">
    <w:abstractNumId w:val="3"/>
  </w:num>
  <w:num w:numId="3" w16cid:durableId="817454261">
    <w:abstractNumId w:val="14"/>
  </w:num>
  <w:num w:numId="4" w16cid:durableId="1273975868">
    <w:abstractNumId w:val="10"/>
  </w:num>
  <w:num w:numId="5" w16cid:durableId="1619526828">
    <w:abstractNumId w:val="13"/>
  </w:num>
  <w:num w:numId="6" w16cid:durableId="1362710407">
    <w:abstractNumId w:val="15"/>
  </w:num>
  <w:num w:numId="7" w16cid:durableId="1916476252">
    <w:abstractNumId w:val="8"/>
  </w:num>
  <w:num w:numId="8" w16cid:durableId="114494251">
    <w:abstractNumId w:val="7"/>
  </w:num>
  <w:num w:numId="9" w16cid:durableId="1873301692">
    <w:abstractNumId w:val="0"/>
  </w:num>
  <w:num w:numId="10" w16cid:durableId="95560740">
    <w:abstractNumId w:val="5"/>
  </w:num>
  <w:num w:numId="11" w16cid:durableId="1486584448">
    <w:abstractNumId w:val="11"/>
  </w:num>
  <w:num w:numId="12" w16cid:durableId="2060857960">
    <w:abstractNumId w:val="1"/>
  </w:num>
  <w:num w:numId="13" w16cid:durableId="2070808819">
    <w:abstractNumId w:val="4"/>
  </w:num>
  <w:num w:numId="14" w16cid:durableId="1836799834">
    <w:abstractNumId w:val="12"/>
  </w:num>
  <w:num w:numId="15" w16cid:durableId="473764116">
    <w:abstractNumId w:val="9"/>
  </w:num>
  <w:num w:numId="16" w16cid:durableId="53670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E3"/>
    <w:rsid w:val="000111CC"/>
    <w:rsid w:val="00011A9F"/>
    <w:rsid w:val="00021392"/>
    <w:rsid w:val="000275BC"/>
    <w:rsid w:val="00033CDA"/>
    <w:rsid w:val="0003451E"/>
    <w:rsid w:val="00045218"/>
    <w:rsid w:val="0004781B"/>
    <w:rsid w:val="00065DF7"/>
    <w:rsid w:val="00094961"/>
    <w:rsid w:val="00095496"/>
    <w:rsid w:val="000A482A"/>
    <w:rsid w:val="000C2A64"/>
    <w:rsid w:val="000D3406"/>
    <w:rsid w:val="000D5D44"/>
    <w:rsid w:val="000E1C37"/>
    <w:rsid w:val="000E5144"/>
    <w:rsid w:val="000F142E"/>
    <w:rsid w:val="000F57D8"/>
    <w:rsid w:val="00116665"/>
    <w:rsid w:val="00127040"/>
    <w:rsid w:val="00132630"/>
    <w:rsid w:val="00142EDD"/>
    <w:rsid w:val="0014707D"/>
    <w:rsid w:val="0018610B"/>
    <w:rsid w:val="0019063C"/>
    <w:rsid w:val="00190F18"/>
    <w:rsid w:val="0019462E"/>
    <w:rsid w:val="001B147D"/>
    <w:rsid w:val="001C19A5"/>
    <w:rsid w:val="001D278D"/>
    <w:rsid w:val="001D2D57"/>
    <w:rsid w:val="001E5748"/>
    <w:rsid w:val="001F437A"/>
    <w:rsid w:val="0020428A"/>
    <w:rsid w:val="00216380"/>
    <w:rsid w:val="00223DA1"/>
    <w:rsid w:val="00224A07"/>
    <w:rsid w:val="0022784A"/>
    <w:rsid w:val="002354E9"/>
    <w:rsid w:val="00261DCA"/>
    <w:rsid w:val="002642C9"/>
    <w:rsid w:val="0027121A"/>
    <w:rsid w:val="00274810"/>
    <w:rsid w:val="002759A7"/>
    <w:rsid w:val="002774F6"/>
    <w:rsid w:val="00277FA4"/>
    <w:rsid w:val="0028545A"/>
    <w:rsid w:val="0028546F"/>
    <w:rsid w:val="00286764"/>
    <w:rsid w:val="002A48EA"/>
    <w:rsid w:val="002C5950"/>
    <w:rsid w:val="002E7817"/>
    <w:rsid w:val="002E7961"/>
    <w:rsid w:val="002F3EEF"/>
    <w:rsid w:val="00300BEB"/>
    <w:rsid w:val="00300EE0"/>
    <w:rsid w:val="00312DFA"/>
    <w:rsid w:val="00313B60"/>
    <w:rsid w:val="00345794"/>
    <w:rsid w:val="003561AC"/>
    <w:rsid w:val="00365744"/>
    <w:rsid w:val="00377172"/>
    <w:rsid w:val="00382EC8"/>
    <w:rsid w:val="003924BF"/>
    <w:rsid w:val="003A1CAF"/>
    <w:rsid w:val="003A290B"/>
    <w:rsid w:val="003A728E"/>
    <w:rsid w:val="003B2434"/>
    <w:rsid w:val="003B3544"/>
    <w:rsid w:val="003D61A2"/>
    <w:rsid w:val="003E16DE"/>
    <w:rsid w:val="0040446F"/>
    <w:rsid w:val="00405530"/>
    <w:rsid w:val="00407FE6"/>
    <w:rsid w:val="00412DD7"/>
    <w:rsid w:val="00426103"/>
    <w:rsid w:val="004531F0"/>
    <w:rsid w:val="0045605C"/>
    <w:rsid w:val="004673E4"/>
    <w:rsid w:val="004820E3"/>
    <w:rsid w:val="004B51B0"/>
    <w:rsid w:val="004B52D8"/>
    <w:rsid w:val="004B7DA7"/>
    <w:rsid w:val="004C044B"/>
    <w:rsid w:val="004C1343"/>
    <w:rsid w:val="004D5B24"/>
    <w:rsid w:val="004D668F"/>
    <w:rsid w:val="004E711C"/>
    <w:rsid w:val="0052571D"/>
    <w:rsid w:val="0052615C"/>
    <w:rsid w:val="00537849"/>
    <w:rsid w:val="00542C13"/>
    <w:rsid w:val="00574221"/>
    <w:rsid w:val="00574479"/>
    <w:rsid w:val="00592557"/>
    <w:rsid w:val="00594841"/>
    <w:rsid w:val="00594DF0"/>
    <w:rsid w:val="005B5118"/>
    <w:rsid w:val="005D2DDE"/>
    <w:rsid w:val="005E4838"/>
    <w:rsid w:val="005E5F2C"/>
    <w:rsid w:val="005F41FC"/>
    <w:rsid w:val="005F53F6"/>
    <w:rsid w:val="00604E1E"/>
    <w:rsid w:val="00612AED"/>
    <w:rsid w:val="006203A8"/>
    <w:rsid w:val="006230E0"/>
    <w:rsid w:val="00635DD3"/>
    <w:rsid w:val="00647B12"/>
    <w:rsid w:val="006517D1"/>
    <w:rsid w:val="00651BE5"/>
    <w:rsid w:val="0065265C"/>
    <w:rsid w:val="00654DF2"/>
    <w:rsid w:val="006560E8"/>
    <w:rsid w:val="0066197D"/>
    <w:rsid w:val="0066242D"/>
    <w:rsid w:val="006632E6"/>
    <w:rsid w:val="0066717D"/>
    <w:rsid w:val="00674E63"/>
    <w:rsid w:val="00674F8E"/>
    <w:rsid w:val="00685C95"/>
    <w:rsid w:val="00694C10"/>
    <w:rsid w:val="006A5D27"/>
    <w:rsid w:val="006B7FEC"/>
    <w:rsid w:val="006C7343"/>
    <w:rsid w:val="00732048"/>
    <w:rsid w:val="00743FDC"/>
    <w:rsid w:val="00764801"/>
    <w:rsid w:val="00767EC0"/>
    <w:rsid w:val="00771856"/>
    <w:rsid w:val="007752A8"/>
    <w:rsid w:val="00785AD1"/>
    <w:rsid w:val="007861CE"/>
    <w:rsid w:val="007B63F5"/>
    <w:rsid w:val="007C7494"/>
    <w:rsid w:val="007D188A"/>
    <w:rsid w:val="007D58FD"/>
    <w:rsid w:val="007D6793"/>
    <w:rsid w:val="007F4272"/>
    <w:rsid w:val="00803F60"/>
    <w:rsid w:val="00816871"/>
    <w:rsid w:val="00825590"/>
    <w:rsid w:val="00826724"/>
    <w:rsid w:val="008528D9"/>
    <w:rsid w:val="00853296"/>
    <w:rsid w:val="008544D9"/>
    <w:rsid w:val="00887A83"/>
    <w:rsid w:val="00891B34"/>
    <w:rsid w:val="008B2789"/>
    <w:rsid w:val="008E12C7"/>
    <w:rsid w:val="0093011C"/>
    <w:rsid w:val="00960165"/>
    <w:rsid w:val="009737CB"/>
    <w:rsid w:val="00981A72"/>
    <w:rsid w:val="009840F3"/>
    <w:rsid w:val="00993B0A"/>
    <w:rsid w:val="009A0EE7"/>
    <w:rsid w:val="009A5DED"/>
    <w:rsid w:val="009B11DE"/>
    <w:rsid w:val="009E0271"/>
    <w:rsid w:val="009F44FB"/>
    <w:rsid w:val="009F493B"/>
    <w:rsid w:val="00A048F6"/>
    <w:rsid w:val="00A06A39"/>
    <w:rsid w:val="00A1527D"/>
    <w:rsid w:val="00A33ABB"/>
    <w:rsid w:val="00A35F98"/>
    <w:rsid w:val="00A441BF"/>
    <w:rsid w:val="00A47DC3"/>
    <w:rsid w:val="00A64275"/>
    <w:rsid w:val="00A7626F"/>
    <w:rsid w:val="00A838FA"/>
    <w:rsid w:val="00A9685A"/>
    <w:rsid w:val="00AB2257"/>
    <w:rsid w:val="00AC5936"/>
    <w:rsid w:val="00AC6EE9"/>
    <w:rsid w:val="00AD70F4"/>
    <w:rsid w:val="00AE01CB"/>
    <w:rsid w:val="00AE1228"/>
    <w:rsid w:val="00B015A4"/>
    <w:rsid w:val="00B17B01"/>
    <w:rsid w:val="00B365C1"/>
    <w:rsid w:val="00B552F7"/>
    <w:rsid w:val="00B870D2"/>
    <w:rsid w:val="00B94989"/>
    <w:rsid w:val="00BA0FAF"/>
    <w:rsid w:val="00BA23AD"/>
    <w:rsid w:val="00BB370F"/>
    <w:rsid w:val="00BC10BC"/>
    <w:rsid w:val="00BC2CB8"/>
    <w:rsid w:val="00BC5CA8"/>
    <w:rsid w:val="00BC62E0"/>
    <w:rsid w:val="00BD5525"/>
    <w:rsid w:val="00BD60B7"/>
    <w:rsid w:val="00BE2C50"/>
    <w:rsid w:val="00BE2FF4"/>
    <w:rsid w:val="00C07B14"/>
    <w:rsid w:val="00C10337"/>
    <w:rsid w:val="00C1318B"/>
    <w:rsid w:val="00C166D8"/>
    <w:rsid w:val="00C30C7B"/>
    <w:rsid w:val="00C47834"/>
    <w:rsid w:val="00C562DE"/>
    <w:rsid w:val="00C66801"/>
    <w:rsid w:val="00C72326"/>
    <w:rsid w:val="00C76DCE"/>
    <w:rsid w:val="00C82A12"/>
    <w:rsid w:val="00C85103"/>
    <w:rsid w:val="00CA498A"/>
    <w:rsid w:val="00CA7330"/>
    <w:rsid w:val="00CB0E21"/>
    <w:rsid w:val="00CB344E"/>
    <w:rsid w:val="00CC0CCE"/>
    <w:rsid w:val="00CD3838"/>
    <w:rsid w:val="00CD53BD"/>
    <w:rsid w:val="00CD7E3B"/>
    <w:rsid w:val="00CE6C5D"/>
    <w:rsid w:val="00D031E8"/>
    <w:rsid w:val="00D25A4F"/>
    <w:rsid w:val="00D42343"/>
    <w:rsid w:val="00D50529"/>
    <w:rsid w:val="00D5647B"/>
    <w:rsid w:val="00D616F4"/>
    <w:rsid w:val="00D6418C"/>
    <w:rsid w:val="00D66567"/>
    <w:rsid w:val="00D66FBD"/>
    <w:rsid w:val="00D9184D"/>
    <w:rsid w:val="00DA0B19"/>
    <w:rsid w:val="00DB1CDB"/>
    <w:rsid w:val="00DB3715"/>
    <w:rsid w:val="00DC6953"/>
    <w:rsid w:val="00DD0664"/>
    <w:rsid w:val="00DD0777"/>
    <w:rsid w:val="00DE4531"/>
    <w:rsid w:val="00DE5B72"/>
    <w:rsid w:val="00DE6547"/>
    <w:rsid w:val="00DF574C"/>
    <w:rsid w:val="00DF76A7"/>
    <w:rsid w:val="00E06D96"/>
    <w:rsid w:val="00E104FD"/>
    <w:rsid w:val="00E112EE"/>
    <w:rsid w:val="00E11471"/>
    <w:rsid w:val="00E15B09"/>
    <w:rsid w:val="00E360BF"/>
    <w:rsid w:val="00E47E94"/>
    <w:rsid w:val="00E72881"/>
    <w:rsid w:val="00E83FD6"/>
    <w:rsid w:val="00E86F20"/>
    <w:rsid w:val="00EB723F"/>
    <w:rsid w:val="00EC2DCF"/>
    <w:rsid w:val="00EF2697"/>
    <w:rsid w:val="00F06E38"/>
    <w:rsid w:val="00F14456"/>
    <w:rsid w:val="00F1533D"/>
    <w:rsid w:val="00F463B6"/>
    <w:rsid w:val="00F76CC3"/>
    <w:rsid w:val="00F869E4"/>
    <w:rsid w:val="00FA46BF"/>
    <w:rsid w:val="00FA47D5"/>
    <w:rsid w:val="00FA7BD1"/>
    <w:rsid w:val="00FB18D3"/>
    <w:rsid w:val="00FD466F"/>
    <w:rsid w:val="00FD4D4C"/>
    <w:rsid w:val="00FE0AC0"/>
    <w:rsid w:val="00FE0CD2"/>
    <w:rsid w:val="00FE69AB"/>
    <w:rsid w:val="00FE7BBA"/>
    <w:rsid w:val="22CB9468"/>
    <w:rsid w:val="64FAB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157A5"/>
  <w15:chartTrackingRefBased/>
  <w15:docId w15:val="{E2EBB712-5E96-4B44-963C-03265EAA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2789"/>
    <w:rPr>
      <w:sz w:val="16"/>
      <w:szCs w:val="16"/>
    </w:rPr>
  </w:style>
  <w:style w:type="paragraph" w:styleId="CommentText">
    <w:name w:val="annotation text"/>
    <w:basedOn w:val="Normal"/>
    <w:link w:val="CommentTextChar"/>
    <w:uiPriority w:val="99"/>
    <w:unhideWhenUsed/>
    <w:rsid w:val="008B2789"/>
    <w:pPr>
      <w:spacing w:line="240" w:lineRule="auto"/>
    </w:pPr>
    <w:rPr>
      <w:sz w:val="20"/>
      <w:szCs w:val="20"/>
    </w:rPr>
  </w:style>
  <w:style w:type="character" w:customStyle="1" w:styleId="CommentTextChar">
    <w:name w:val="Comment Text Char"/>
    <w:basedOn w:val="DefaultParagraphFont"/>
    <w:link w:val="CommentText"/>
    <w:uiPriority w:val="99"/>
    <w:rsid w:val="008B2789"/>
    <w:rPr>
      <w:sz w:val="20"/>
      <w:szCs w:val="20"/>
    </w:rPr>
  </w:style>
  <w:style w:type="paragraph" w:styleId="CommentSubject">
    <w:name w:val="annotation subject"/>
    <w:basedOn w:val="CommentText"/>
    <w:next w:val="CommentText"/>
    <w:link w:val="CommentSubjectChar"/>
    <w:uiPriority w:val="99"/>
    <w:semiHidden/>
    <w:unhideWhenUsed/>
    <w:rsid w:val="008B2789"/>
    <w:rPr>
      <w:b/>
      <w:bCs/>
    </w:rPr>
  </w:style>
  <w:style w:type="character" w:customStyle="1" w:styleId="CommentSubjectChar">
    <w:name w:val="Comment Subject Char"/>
    <w:basedOn w:val="CommentTextChar"/>
    <w:link w:val="CommentSubject"/>
    <w:uiPriority w:val="99"/>
    <w:semiHidden/>
    <w:rsid w:val="008B2789"/>
    <w:rPr>
      <w:b/>
      <w:bCs/>
      <w:sz w:val="20"/>
      <w:szCs w:val="20"/>
    </w:rPr>
  </w:style>
  <w:style w:type="paragraph" w:styleId="BalloonText">
    <w:name w:val="Balloon Text"/>
    <w:basedOn w:val="Normal"/>
    <w:link w:val="BalloonTextChar"/>
    <w:uiPriority w:val="99"/>
    <w:semiHidden/>
    <w:unhideWhenUsed/>
    <w:rsid w:val="008B2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89"/>
    <w:rPr>
      <w:rFonts w:ascii="Segoe UI" w:hAnsi="Segoe UI" w:cs="Segoe UI"/>
      <w:sz w:val="18"/>
      <w:szCs w:val="18"/>
    </w:rPr>
  </w:style>
  <w:style w:type="paragraph" w:styleId="ListParagraph">
    <w:name w:val="List Paragraph"/>
    <w:basedOn w:val="Normal"/>
    <w:uiPriority w:val="34"/>
    <w:qFormat/>
    <w:rsid w:val="00AB2257"/>
    <w:pPr>
      <w:ind w:left="720"/>
      <w:contextualSpacing/>
    </w:pPr>
  </w:style>
  <w:style w:type="paragraph" w:styleId="Header">
    <w:name w:val="header"/>
    <w:basedOn w:val="Normal"/>
    <w:link w:val="HeaderChar"/>
    <w:uiPriority w:val="99"/>
    <w:unhideWhenUsed/>
    <w:rsid w:val="001C1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9A5"/>
  </w:style>
  <w:style w:type="paragraph" w:styleId="Footer">
    <w:name w:val="footer"/>
    <w:basedOn w:val="Normal"/>
    <w:link w:val="FooterChar"/>
    <w:uiPriority w:val="99"/>
    <w:unhideWhenUsed/>
    <w:rsid w:val="001C1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9A5"/>
  </w:style>
  <w:style w:type="table" w:styleId="TableGrid">
    <w:name w:val="Table Grid"/>
    <w:basedOn w:val="TableNormal"/>
    <w:uiPriority w:val="39"/>
    <w:rsid w:val="0062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03A8"/>
    <w:pPr>
      <w:widowControl w:val="0"/>
      <w:autoSpaceDE w:val="0"/>
      <w:autoSpaceDN w:val="0"/>
      <w:spacing w:after="0" w:line="240" w:lineRule="auto"/>
      <w:ind w:left="107"/>
    </w:pPr>
    <w:rPr>
      <w:rFonts w:ascii="Arial" w:eastAsia="Arial" w:hAnsi="Arial" w:cs="Arial"/>
      <w:lang w:bidi="en-US"/>
    </w:rPr>
  </w:style>
  <w:style w:type="paragraph" w:styleId="BodyText">
    <w:name w:val="Body Text"/>
    <w:basedOn w:val="Normal"/>
    <w:link w:val="BodyTextChar"/>
    <w:uiPriority w:val="1"/>
    <w:qFormat/>
    <w:rsid w:val="00DB3715"/>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DB3715"/>
    <w:rPr>
      <w:rFonts w:ascii="Arial" w:eastAsia="Arial" w:hAnsi="Arial" w:cs="Arial"/>
      <w:sz w:val="18"/>
      <w:szCs w:val="18"/>
      <w:lang w:bidi="en-US"/>
    </w:rPr>
  </w:style>
  <w:style w:type="paragraph" w:styleId="Title">
    <w:name w:val="Title"/>
    <w:basedOn w:val="Normal"/>
    <w:link w:val="TitleChar"/>
    <w:uiPriority w:val="10"/>
    <w:qFormat/>
    <w:rsid w:val="00BB370F"/>
    <w:pPr>
      <w:widowControl w:val="0"/>
      <w:autoSpaceDE w:val="0"/>
      <w:autoSpaceDN w:val="0"/>
      <w:spacing w:before="218" w:after="0" w:line="240" w:lineRule="auto"/>
      <w:ind w:left="161"/>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BB370F"/>
    <w:rPr>
      <w:rFonts w:ascii="Arial" w:eastAsia="Arial" w:hAnsi="Arial" w:cs="Arial"/>
      <w:b/>
      <w:bCs/>
      <w:sz w:val="24"/>
      <w:szCs w:val="24"/>
    </w:rPr>
  </w:style>
  <w:style w:type="character" w:styleId="Strong">
    <w:name w:val="Strong"/>
    <w:basedOn w:val="DefaultParagraphFont"/>
    <w:uiPriority w:val="22"/>
    <w:qFormat/>
    <w:rsid w:val="00405530"/>
    <w:rPr>
      <w:b/>
      <w:bCs/>
    </w:rPr>
  </w:style>
  <w:style w:type="character" w:styleId="Hyperlink">
    <w:name w:val="Hyperlink"/>
    <w:basedOn w:val="DefaultParagraphFont"/>
    <w:uiPriority w:val="99"/>
    <w:unhideWhenUsed/>
    <w:rsid w:val="006C7343"/>
    <w:rPr>
      <w:color w:val="0563C1" w:themeColor="hyperlink"/>
      <w:u w:val="single"/>
    </w:rPr>
  </w:style>
  <w:style w:type="character" w:styleId="UnresolvedMention">
    <w:name w:val="Unresolved Mention"/>
    <w:basedOn w:val="DefaultParagraphFont"/>
    <w:uiPriority w:val="99"/>
    <w:semiHidden/>
    <w:unhideWhenUsed/>
    <w:rsid w:val="006C7343"/>
    <w:rPr>
      <w:color w:val="605E5C"/>
      <w:shd w:val="clear" w:color="auto" w:fill="E1DFDD"/>
    </w:rPr>
  </w:style>
  <w:style w:type="paragraph" w:styleId="NoSpacing">
    <w:name w:val="No Spacing"/>
    <w:uiPriority w:val="1"/>
    <w:qFormat/>
    <w:rsid w:val="000C2A64"/>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FE7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27187">
      <w:bodyDiv w:val="1"/>
      <w:marLeft w:val="0"/>
      <w:marRight w:val="0"/>
      <w:marTop w:val="0"/>
      <w:marBottom w:val="0"/>
      <w:divBdr>
        <w:top w:val="none" w:sz="0" w:space="0" w:color="auto"/>
        <w:left w:val="none" w:sz="0" w:space="0" w:color="auto"/>
        <w:bottom w:val="none" w:sz="0" w:space="0" w:color="auto"/>
        <w:right w:val="none" w:sz="0" w:space="0" w:color="auto"/>
      </w:divBdr>
    </w:div>
    <w:div w:id="1220701264">
      <w:bodyDiv w:val="1"/>
      <w:marLeft w:val="0"/>
      <w:marRight w:val="0"/>
      <w:marTop w:val="0"/>
      <w:marBottom w:val="0"/>
      <w:divBdr>
        <w:top w:val="none" w:sz="0" w:space="0" w:color="auto"/>
        <w:left w:val="none" w:sz="0" w:space="0" w:color="auto"/>
        <w:bottom w:val="none" w:sz="0" w:space="0" w:color="auto"/>
        <w:right w:val="none" w:sz="0" w:space="0" w:color="auto"/>
      </w:divBdr>
    </w:div>
    <w:div w:id="1406801240">
      <w:bodyDiv w:val="1"/>
      <w:marLeft w:val="0"/>
      <w:marRight w:val="0"/>
      <w:marTop w:val="0"/>
      <w:marBottom w:val="0"/>
      <w:divBdr>
        <w:top w:val="none" w:sz="0" w:space="0" w:color="auto"/>
        <w:left w:val="none" w:sz="0" w:space="0" w:color="auto"/>
        <w:bottom w:val="none" w:sz="0" w:space="0" w:color="auto"/>
        <w:right w:val="none" w:sz="0" w:space="0" w:color="auto"/>
      </w:divBdr>
    </w:div>
    <w:div w:id="18445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vokeglucagon.com/wp-content/uploads/2024/01/gvoke-pi-12-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gvokeglucagon.com/wp-content/uploads/2024/01/gvoke-pi-12-2023.pdf" TargetMode="External"/><Relationship Id="rId1" Type="http://schemas.openxmlformats.org/officeDocument/2006/relationships/hyperlink" Target="https://www.gvokeglucagon.com/wp-content/uploads/2024/01/gvoke-pi-1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Astor, Alexandra</dc:creator>
  <cp:keywords/>
  <dc:description/>
  <cp:lastModifiedBy>Kimberly Herring</cp:lastModifiedBy>
  <cp:revision>2</cp:revision>
  <dcterms:created xsi:type="dcterms:W3CDTF">2025-09-08T20:32:00Z</dcterms:created>
  <dcterms:modified xsi:type="dcterms:W3CDTF">2025-09-08T20:32:00Z</dcterms:modified>
</cp:coreProperties>
</file>